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B22D8A" w:rsidP="00301B9A">
      <w:pPr>
        <w:widowControl/>
        <w:shd w:val="clear" w:color="auto" w:fill="FFFFFF"/>
        <w:jc w:val="center"/>
      </w:pPr>
      <w:r w:rsidRPr="00801B07">
        <w:t>02</w:t>
      </w:r>
      <w:r w:rsidR="00301B9A" w:rsidRPr="00801B07">
        <w:t>.</w:t>
      </w:r>
      <w:r w:rsidR="00801B07" w:rsidRPr="00801B07">
        <w:t>11</w:t>
      </w:r>
      <w:r w:rsidR="00301B9A" w:rsidRPr="00801B07">
        <w:t>.20</w:t>
      </w:r>
      <w:r w:rsidR="00C30A36" w:rsidRPr="00801B07">
        <w:t>2</w:t>
      </w:r>
      <w:r w:rsidR="00D60EE7" w:rsidRPr="00801B07">
        <w:t>2</w:t>
      </w:r>
      <w:r w:rsidR="00301B9A" w:rsidRPr="00801B07">
        <w:t xml:space="preserve">                                               № </w:t>
      </w:r>
      <w:r w:rsidR="00801B07">
        <w:t>223</w:t>
      </w:r>
      <w:r w:rsidR="00301B9A" w:rsidRPr="009073E0">
        <w:t xml:space="preserve">   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Матвеево-Курганского сельского поселения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качественными жилищно-коммунальными услугами населения Матвеево-Курганского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r w:rsidRPr="009073E0">
        <w:rPr>
          <w:color w:val="000000"/>
          <w:spacing w:val="-4"/>
          <w:w w:val="108"/>
        </w:rPr>
        <w:t>П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Матвеево-Курганского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«Об утверждении  муниципальной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населения  Матвеево-Курганского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редакции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r w:rsidRPr="009073E0">
        <w:rPr>
          <w:spacing w:val="-12"/>
          <w:w w:val="108"/>
        </w:rPr>
        <w:t>Постановление вступает в силу после его опубликования  в информационном бюллетени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>3. Контроль за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641553" w:rsidP="009073E0">
      <w:pPr>
        <w:shd w:val="clear" w:color="auto" w:fill="FFFFFF"/>
        <w:jc w:val="both"/>
        <w:rPr>
          <w:w w:val="108"/>
        </w:rPr>
      </w:pPr>
      <w:r>
        <w:rPr>
          <w:w w:val="108"/>
        </w:rPr>
        <w:t>И.о.г</w:t>
      </w:r>
      <w:r w:rsidR="00C844FB" w:rsidRPr="009073E0">
        <w:rPr>
          <w:w w:val="108"/>
        </w:rPr>
        <w:t>лав</w:t>
      </w:r>
      <w:r>
        <w:rPr>
          <w:w w:val="108"/>
        </w:rPr>
        <w:t>ы</w:t>
      </w:r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Матвеево-Курганского</w:t>
      </w:r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r w:rsidR="00641553">
        <w:rPr>
          <w:w w:val="108"/>
        </w:rPr>
        <w:t>А.А.Новак</w:t>
      </w:r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r w:rsidR="00314F98" w:rsidRPr="009073E0">
        <w:t>Матвеево-Курганского</w:t>
      </w:r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4116C4">
        <w:t>от</w:t>
      </w:r>
      <w:r w:rsidR="005C5AF0" w:rsidRPr="004116C4">
        <w:t xml:space="preserve"> </w:t>
      </w:r>
      <w:r w:rsidR="00801B07">
        <w:t>02</w:t>
      </w:r>
      <w:r w:rsidR="00CA30A1" w:rsidRPr="004116C4">
        <w:t>.</w:t>
      </w:r>
      <w:r w:rsidR="0050215D">
        <w:t>11</w:t>
      </w:r>
      <w:r w:rsidR="00DC7A31" w:rsidRPr="004116C4">
        <w:t>.</w:t>
      </w:r>
      <w:r w:rsidR="004D1218" w:rsidRPr="004116C4">
        <w:t>2</w:t>
      </w:r>
      <w:r w:rsidR="00C9173E">
        <w:t>2</w:t>
      </w:r>
      <w:r w:rsidR="00847A5C" w:rsidRPr="004116C4">
        <w:t xml:space="preserve">г </w:t>
      </w:r>
      <w:r w:rsidRPr="004116C4">
        <w:t xml:space="preserve"> </w:t>
      </w:r>
      <w:r w:rsidRPr="00B22D8A">
        <w:t>№</w:t>
      </w:r>
      <w:r w:rsidR="00FF2EC9" w:rsidRPr="004116C4">
        <w:t xml:space="preserve"> </w:t>
      </w:r>
      <w:r w:rsidR="00801B07">
        <w:t>223</w:t>
      </w:r>
      <w:bookmarkStart w:id="0" w:name="_GoBack"/>
      <w:bookmarkEnd w:id="0"/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9073E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89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 xml:space="preserve">муниципальной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жилищно-коммунальными услугами населения  Матвеево-Курганского поселения»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r w:rsidR="00314F98" w:rsidRPr="009073E0">
              <w:t>Матвеево-Курганского</w:t>
            </w:r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 xml:space="preserve">муниципальной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r w:rsidR="00314F98" w:rsidRPr="009073E0">
              <w:t>Матвеево-Курганского</w:t>
            </w:r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r w:rsidR="003A0076" w:rsidRPr="009073E0">
              <w:t>Матвеево-Курганском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Матвеево-Курганском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>Благоустройство территории Матвеево-Курганского сельского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муниципальной программы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населению  Матвеево-Курганского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гоквартирными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lastRenderedPageBreak/>
              <w:t>-комплексное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Задачи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</w:t>
            </w:r>
            <w:r w:rsidRPr="009073E0">
              <w:t>»</w:t>
            </w:r>
            <w:r w:rsidR="003A0076" w:rsidRPr="009073E0">
              <w:t xml:space="preserve"> на территории Матвеево-Курганского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развитие конкурентной среды в сфере управления многоквартирными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Матвеево-Курганского сельского  поселения. </w:t>
            </w:r>
          </w:p>
          <w:p w:rsidR="00270EEB" w:rsidRPr="009073E0" w:rsidRDefault="00270EEB" w:rsidP="00270EEB">
            <w:r w:rsidRPr="009073E0">
              <w:t>-прочие мероприятия в области благоустройства территории Матвеево-Курганского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совершенствование эстетического вида поселения.</w:t>
            </w:r>
          </w:p>
          <w:p w:rsidR="00270EEB" w:rsidRPr="009073E0" w:rsidRDefault="00270EEB" w:rsidP="00270EEB">
            <w:r w:rsidRPr="009073E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Матвеево-курганского сельского поселения;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архитектурных форм к общему числу памятников и малых архитектурных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реализации  -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Ресурсное обеспечение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710F09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за 201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 xml:space="preserve"> - 20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3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0 годы –</w:t>
                  </w:r>
                  <w:r w:rsidR="00DB2036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="00710F09" w:rsidRPr="00710F09">
                    <w:rPr>
                      <w:rFonts w:eastAsia="Calibri"/>
                      <w:b/>
                      <w:lang w:eastAsia="en-US"/>
                    </w:rPr>
                    <w:t>1</w:t>
                  </w:r>
                  <w:r w:rsidR="00EC5451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="0050215D">
                    <w:rPr>
                      <w:rFonts w:eastAsia="Calibri"/>
                      <w:b/>
                      <w:lang w:eastAsia="en-US"/>
                    </w:rPr>
                    <w:t>9899,4</w:t>
                  </w:r>
                  <w:r w:rsidR="00A07544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7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340AFA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AC7877">
                          <w:t>20</w:t>
                        </w:r>
                        <w:r w:rsidR="00340AFA">
                          <w:t>230,2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C9173E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C9173E">
                          <w:t xml:space="preserve"> 22398,2</w:t>
                        </w:r>
                        <w:r w:rsidR="00654519" w:rsidRPr="009073E0">
                          <w:t>тыс.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3F1B93" w:rsidRDefault="00CD59EB" w:rsidP="009217B9">
                        <w:pPr>
                          <w:jc w:val="both"/>
                        </w:pPr>
                        <w:r w:rsidRPr="003F1B93">
                          <w:t xml:space="preserve">2022 год </w:t>
                        </w:r>
                        <w:r w:rsidR="00654519" w:rsidRPr="003F1B93">
                          <w:t xml:space="preserve">- </w:t>
                        </w:r>
                        <w:r w:rsidR="000571BF" w:rsidRPr="003F1B93">
                          <w:t xml:space="preserve"> </w:t>
                        </w:r>
                        <w:r w:rsidR="0050215D" w:rsidRPr="0050215D">
                          <w:rPr>
                            <w:highlight w:val="yellow"/>
                          </w:rPr>
                          <w:t>23107,4</w:t>
                        </w:r>
                        <w:r w:rsidR="00710F09" w:rsidRPr="003F1B93">
                          <w:t xml:space="preserve"> </w:t>
                        </w:r>
                        <w:r w:rsidR="00A21C70" w:rsidRPr="003F1B93">
                          <w:t>тыс. рублей;</w:t>
                        </w:r>
                      </w:p>
                      <w:p w:rsidR="000B5D26" w:rsidRPr="003F1B93" w:rsidRDefault="00CD59EB" w:rsidP="009217B9">
                        <w:pPr>
                          <w:jc w:val="both"/>
                        </w:pPr>
                        <w:r w:rsidRPr="003F1B93">
                          <w:t xml:space="preserve">2023 год – </w:t>
                        </w:r>
                        <w:r w:rsidR="00C9173E">
                          <w:t>18004,7</w:t>
                        </w:r>
                        <w:r w:rsidR="000B5D26" w:rsidRPr="003F1B93">
                          <w:t>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3F1B93">
                          <w:t xml:space="preserve">2024 год – </w:t>
                        </w:r>
                        <w:r w:rsidR="00C9173E">
                          <w:t>15600,4</w:t>
                        </w:r>
                        <w:r w:rsidR="00F652B4" w:rsidRPr="003F1B93">
                          <w:t xml:space="preserve"> </w:t>
                        </w:r>
                        <w:r w:rsidR="000B5D26" w:rsidRPr="003F1B93">
                          <w:t>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 xml:space="preserve">- </w:t>
                  </w:r>
                  <w:r w:rsidR="00710F09">
                    <w:rPr>
                      <w:b/>
                    </w:rPr>
                    <w:t>3</w:t>
                  </w:r>
                  <w:r w:rsidR="001438CD">
                    <w:rPr>
                      <w:b/>
                    </w:rPr>
                    <w:t>4</w:t>
                  </w:r>
                  <w:r w:rsidR="0050215D">
                    <w:rPr>
                      <w:b/>
                    </w:rPr>
                    <w:t>84</w:t>
                  </w:r>
                  <w:r w:rsidR="001438CD">
                    <w:rPr>
                      <w:b/>
                    </w:rPr>
                    <w:t>,</w:t>
                  </w:r>
                  <w:r w:rsidR="0050215D">
                    <w:rPr>
                      <w:b/>
                    </w:rPr>
                    <w:t>2</w:t>
                  </w:r>
                  <w:r w:rsidRPr="009073E0">
                    <w:rPr>
                      <w:b/>
                    </w:rPr>
                    <w:t xml:space="preserve"> </w:t>
                  </w:r>
                  <w:r w:rsidRPr="009073E0">
                    <w:t>тыс.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Pr="00F846ED">
                    <w:rPr>
                      <w:b/>
                    </w:rPr>
                    <w:t>21</w:t>
                  </w:r>
                  <w:r w:rsidR="006F7B07">
                    <w:rPr>
                      <w:b/>
                    </w:rPr>
                    <w:t>02,3</w:t>
                  </w:r>
                  <w:r w:rsidRPr="009073E0">
                    <w:t xml:space="preserve"> тыс. 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>в 2021 году</w:t>
                  </w:r>
                  <w:r w:rsidR="004A26E9">
                    <w:t xml:space="preserve"> </w:t>
                  </w:r>
                  <w:r>
                    <w:t xml:space="preserve">- </w:t>
                  </w:r>
                  <w:r w:rsidR="004A26E9">
                    <w:t xml:space="preserve"> </w:t>
                  </w:r>
                  <w:r w:rsidR="00A9044D" w:rsidRPr="00A9044D">
                    <w:rPr>
                      <w:b/>
                    </w:rPr>
                    <w:t>285</w:t>
                  </w:r>
                  <w:r w:rsidRPr="00710F09">
                    <w:rPr>
                      <w:b/>
                    </w:rPr>
                    <w:t xml:space="preserve">,4 </w:t>
                  </w:r>
                  <w:r>
                    <w:t>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2022 году – </w:t>
                  </w:r>
                  <w:r w:rsidR="0050215D">
                    <w:rPr>
                      <w:b/>
                      <w:highlight w:val="yellow"/>
                    </w:rPr>
                    <w:t>240</w:t>
                  </w:r>
                  <w:r w:rsidR="001438CD">
                    <w:rPr>
                      <w:b/>
                      <w:highlight w:val="yellow"/>
                    </w:rPr>
                    <w:t>,</w:t>
                  </w:r>
                  <w:r w:rsidR="0050215D">
                    <w:rPr>
                      <w:b/>
                    </w:rPr>
                    <w:t>5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2023 году – </w:t>
                  </w:r>
                  <w:r w:rsidR="00A9044D">
                    <w:rPr>
                      <w:b/>
                    </w:rPr>
                    <w:t>246,4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1F436B" w:rsidRPr="009073E0" w:rsidRDefault="003F1B93" w:rsidP="001D3C3D">
                  <w:pPr>
                    <w:pStyle w:val="ConsPlusCell"/>
                  </w:pPr>
                  <w:r>
                    <w:t>в 2024</w:t>
                  </w:r>
                  <w:r w:rsidR="001F436B">
                    <w:t xml:space="preserve"> году – </w:t>
                  </w:r>
                  <w:r w:rsidR="00A9044D">
                    <w:rPr>
                      <w:b/>
                    </w:rPr>
                    <w:t>246,4</w:t>
                  </w:r>
                  <w:r w:rsidR="001F436B">
                    <w:t xml:space="preserve"> тыс. 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3F1B93">
                    <w:rPr>
                      <w:b/>
                    </w:rPr>
                    <w:t>1</w:t>
                  </w:r>
                  <w:r w:rsidR="00EC5451">
                    <w:rPr>
                      <w:b/>
                    </w:rPr>
                    <w:t>9</w:t>
                  </w:r>
                  <w:r w:rsidR="007F2C07">
                    <w:rPr>
                      <w:b/>
                    </w:rPr>
                    <w:t>6415,2</w:t>
                  </w:r>
                  <w:r w:rsidR="00AC7877" w:rsidRPr="00710F09">
                    <w:rPr>
                      <w:b/>
                    </w:rPr>
                    <w:t xml:space="preserve"> ты</w:t>
                  </w:r>
                  <w:r w:rsidRPr="00710F09">
                    <w:rPr>
                      <w:b/>
                    </w:rPr>
                    <w:t>с. рублей</w:t>
                  </w:r>
                  <w:r w:rsidRPr="009073E0">
                    <w:t>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7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6F7B07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E94FF6" w:rsidRPr="00F846ED">
                          <w:t>18</w:t>
                        </w:r>
                        <w:r w:rsidR="006F7B07">
                          <w:t>127,9</w:t>
                        </w:r>
                        <w:r w:rsidR="00AD0D1C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761991">
                        <w:pPr>
                          <w:jc w:val="both"/>
                        </w:pPr>
                        <w:r w:rsidRPr="009073E0">
                          <w:t>2021 год –</w:t>
                        </w:r>
                        <w:r w:rsidR="00EC5451">
                          <w:t xml:space="preserve"> 22</w:t>
                        </w:r>
                        <w:r w:rsidR="00761991">
                          <w:t>112</w:t>
                        </w:r>
                        <w:r w:rsidR="00EC5451">
                          <w:t>,8</w:t>
                        </w:r>
                        <w:r w:rsidR="008461B4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3F1B93" w:rsidRDefault="00C2490C" w:rsidP="00C30A36">
                        <w:pPr>
                          <w:jc w:val="both"/>
                        </w:pPr>
                        <w:r w:rsidRPr="003F1B93">
                          <w:t xml:space="preserve">2022 год -  </w:t>
                        </w:r>
                        <w:r w:rsidR="007F2C07" w:rsidRPr="007F2C07">
                          <w:rPr>
                            <w:highlight w:val="yellow"/>
                          </w:rPr>
                          <w:t>22866,9</w:t>
                        </w:r>
                        <w:r w:rsidR="008461B4" w:rsidRPr="003F1B93">
                          <w:t xml:space="preserve"> </w:t>
                        </w:r>
                        <w:r w:rsidRPr="003F1B93">
                          <w:t>тыс. рублей;</w:t>
                        </w:r>
                      </w:p>
                      <w:p w:rsidR="00C2490C" w:rsidRPr="003F1B93" w:rsidRDefault="00C2490C" w:rsidP="00C30A36">
                        <w:pPr>
                          <w:jc w:val="both"/>
                        </w:pPr>
                        <w:r w:rsidRPr="003F1B93">
                          <w:t xml:space="preserve">2023 год – </w:t>
                        </w:r>
                        <w:r w:rsidR="008461B4" w:rsidRPr="003F1B93">
                          <w:t>1</w:t>
                        </w:r>
                        <w:r w:rsidR="003F1B93" w:rsidRPr="003F1B93">
                          <w:t>7</w:t>
                        </w:r>
                        <w:r w:rsidR="00B04651">
                          <w:t>758</w:t>
                        </w:r>
                        <w:r w:rsidR="00EC5451">
                          <w:t>,3</w:t>
                        </w:r>
                        <w:r w:rsidR="008461B4" w:rsidRPr="003F1B93">
                          <w:t xml:space="preserve"> </w:t>
                        </w:r>
                        <w:r w:rsidRPr="003F1B93">
                          <w:t>тыс. рублей;</w:t>
                        </w:r>
                      </w:p>
                      <w:p w:rsidR="00C2490C" w:rsidRPr="009073E0" w:rsidRDefault="003F1B93" w:rsidP="00C30A36">
                        <w:pPr>
                          <w:jc w:val="both"/>
                        </w:pPr>
                        <w:r w:rsidRPr="003F1B93">
                          <w:t>2024 год – 1</w:t>
                        </w:r>
                        <w:r w:rsidR="006D1EF2">
                          <w:t>5</w:t>
                        </w:r>
                        <w:r w:rsidR="00B04651">
                          <w:t>354</w:t>
                        </w:r>
                        <w:r w:rsidR="006D1EF2">
                          <w:t xml:space="preserve">,0 </w:t>
                        </w:r>
                        <w:r w:rsidR="00C2490C" w:rsidRPr="003F1B93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Муниципальная программа финансируется из областного   бюджета в пределах бюджетных ассигнований, предусмотренных на ее реализацию областным законом  об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 xml:space="preserve"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Администрации Матвеево-Курганского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Ожидаемые результаты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r w:rsidRPr="009073E0">
              <w:t>Матвеево-Курганского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lastRenderedPageBreak/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r w:rsidRPr="009073E0">
              <w:t>Матвеево-Курганского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>-привлечение жителей, в т.ч.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Матвеево-Курганском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r w:rsidR="00823ED8" w:rsidRPr="009073E0">
        <w:t xml:space="preserve">Матвеево-Курганском сельском поселении </w:t>
      </w:r>
      <w:r w:rsidRPr="009073E0">
        <w:t xml:space="preserve">по состоянию на 1 </w:t>
      </w:r>
      <w:r w:rsidR="00732B9D" w:rsidRPr="009073E0">
        <w:t>октября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>в п.Матвеев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Матвеево-Курганского сельского поселении </w:t>
      </w:r>
      <w:r w:rsidRPr="009073E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предпринимаемые меры, </w:t>
      </w:r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</w:t>
      </w:r>
      <w:r w:rsidRPr="009073E0">
        <w:t>ствии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 xml:space="preserve">Помимо указанных общих проблем, имеются также специфические, влияющие на уровень </w:t>
      </w:r>
      <w:r w:rsidR="00DD11F5" w:rsidRPr="009073E0">
        <w:lastRenderedPageBreak/>
        <w:t>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Муниципальной</w:t>
      </w:r>
      <w:r w:rsidR="004518E6" w:rsidRPr="009073E0">
        <w:t xml:space="preserve"> программы не менее чем на 10 процентов от планового уровня и на которые ответственный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непосредственного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следующие: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9073E0">
        <w:t>Муниципальной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оценить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продолжительности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программного бюджетирования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недофинансирования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изменением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</w:t>
      </w:r>
      <w:r w:rsidR="004518E6" w:rsidRPr="009073E0">
        <w:lastRenderedPageBreak/>
        <w:t>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Муниципальной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информационно-разъяснительной работы с населением </w:t>
      </w:r>
      <w:r w:rsidR="00606F35" w:rsidRPr="009073E0">
        <w:t>Матвеево-Курганского сельского поселения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Принятие мер правового регулирования относится к компетенции федеральных органов исполнительной власти и предусмотрено Государственной </w:t>
      </w:r>
      <w:hyperlink r:id="rId9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Меры правового регулирования в жилищно-коммунальной сфере, относящиеся к компетенции </w:t>
      </w:r>
      <w:r w:rsidR="00606F35" w:rsidRPr="009073E0">
        <w:t>Администрации Матвеево-курганского сельского поселения</w:t>
      </w:r>
      <w:r w:rsidRPr="009073E0">
        <w:t>, носят вспомогательный характер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Указанные направления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года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>- организация мероприятий по содержанию и ремонту  муниципального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соответствии с: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Концепцией долгосрочного социально-экономического развития Российской Федера</w:t>
      </w:r>
      <w:r w:rsidR="0041286E" w:rsidRPr="009073E0">
        <w:lastRenderedPageBreak/>
        <w:t>ции на период до 2020 года, утвержденной распоряжением Правительства Российской Федерации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период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реализованы меры по обеспечению комфортных условий проживания, в том числе меры по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r w:rsidR="00D612F2" w:rsidRPr="009073E0">
        <w:t>Матвеево-Курганского сельского поселения</w:t>
      </w:r>
      <w:r w:rsidRPr="009073E0">
        <w:t xml:space="preserve"> и достигнут качественно новый уровень состояния жилищно-коммунальной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"Развитие жилищного хозяйства в Матвеево-Курганском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Матвеево-Курганском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>Благоустройство территории Матвеево-Курганского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"Развитие жилищного хозяйства в Матвеево-Курганском 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lastRenderedPageBreak/>
        <w:t>Основное мероприятие № 1</w:t>
      </w:r>
      <w:r w:rsidRPr="009073E0">
        <w:t xml:space="preserve"> </w:t>
      </w:r>
      <w:r w:rsidR="002C6C8C" w:rsidRPr="009073E0">
        <w:t>Обеспечение мероприятий по капитальному ремонту многоквартирных домов</w:t>
      </w:r>
      <w:r w:rsidR="00312A39" w:rsidRPr="009073E0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9073E0" w:rsidRDefault="0091000C" w:rsidP="0091000C">
      <w:pPr>
        <w:jc w:val="both"/>
      </w:pPr>
      <w:r w:rsidRPr="009073E0"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включая </w:t>
      </w:r>
      <w:r w:rsidR="005656DF" w:rsidRPr="009073E0">
        <w:t xml:space="preserve"> </w:t>
      </w:r>
      <w:r w:rsidR="00E77D87" w:rsidRPr="009073E0">
        <w:t xml:space="preserve">уплату взносов региональному оператору за капитальный ремонт квартир, находящихся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>«Развитие коммунального хозяйства в Матвеево-Курганском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мероприятия по ремонту  систем газоснабжения, коммунальной техники. уплата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 xml:space="preserve">Мероприятия по обеспечению содержания имущества в рамках подпрограммы </w:t>
      </w:r>
      <w:r w:rsidR="009217B9" w:rsidRPr="009073E0">
        <w:t>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себя </w:t>
      </w:r>
      <w:r w:rsidRPr="009073E0">
        <w:t xml:space="preserve"> мероприяти</w:t>
      </w:r>
      <w:r w:rsidR="001E19A4" w:rsidRPr="009073E0">
        <w:t>я</w:t>
      </w:r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>Благоустройство территории Матвеево-Курганского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обеспечивающего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мероприятие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-содержание клумб (прополка, полив, обкос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Муниципальной программы являются средства област</w:t>
      </w:r>
      <w:r w:rsidRPr="009073E0">
        <w:lastRenderedPageBreak/>
        <w:t>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Муниципальной программы в 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8461B4">
        <w:t>1</w:t>
      </w:r>
      <w:r w:rsidR="002641FE">
        <w:t>9</w:t>
      </w:r>
      <w:r w:rsidR="0021091F">
        <w:t>9</w:t>
      </w:r>
      <w:r w:rsidR="007F2C07">
        <w:t>899,4</w:t>
      </w:r>
      <w:r w:rsidRPr="009073E0">
        <w:t xml:space="preserve"> </w:t>
      </w:r>
      <w:r w:rsidR="00344C46" w:rsidRPr="009073E0">
        <w:t>тыс .</w:t>
      </w:r>
      <w:r w:rsidRPr="009073E0">
        <w:t>рублей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D27A02" w:rsidRPr="009073E0">
        <w:t>–</w:t>
      </w:r>
      <w:r w:rsidR="006F7B07">
        <w:t xml:space="preserve"> </w:t>
      </w:r>
      <w:r w:rsidR="008461B4">
        <w:t>3</w:t>
      </w:r>
      <w:r w:rsidR="00A70A75">
        <w:t>4</w:t>
      </w:r>
      <w:r w:rsidR="007F2C07">
        <w:t>84,2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8461B4">
        <w:t>1</w:t>
      </w:r>
      <w:r w:rsidR="002641FE">
        <w:t>9</w:t>
      </w:r>
      <w:r w:rsidR="007F2C07">
        <w:t>6415,2</w:t>
      </w:r>
      <w:r w:rsidR="008461B4">
        <w:t xml:space="preserve"> </w:t>
      </w:r>
      <w:r w:rsidR="002C6C8C" w:rsidRPr="009073E0">
        <w:t xml:space="preserve"> тыс.</w:t>
      </w:r>
      <w:r w:rsidRPr="009073E0">
        <w:t>рублей;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8461B4">
        <w:t xml:space="preserve"> 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Муниципальной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801B07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>. ПОРЯДОК ВЗАИМОДЕЙСТВИЯ ОТВЕТСТВЕННЫХ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программы</w:t>
      </w:r>
      <w:r w:rsidRPr="009073E0">
        <w:t xml:space="preserve">  и внесение в установленном порядке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 xml:space="preserve">Муниципальной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Муниципальной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r w:rsidR="00B47114" w:rsidRPr="009073E0">
        <w:t>Матвеево-Курганского района</w:t>
      </w:r>
      <w:r w:rsidRPr="009073E0">
        <w:t>,  финансов</w:t>
      </w:r>
      <w:r w:rsidR="00B47114" w:rsidRPr="009073E0">
        <w:t>ого отдела Матвеево-Курганского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отчеты об исполнении плана реализации (с учетом информации, представленной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согласовывает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r w:rsidR="00CF5C69" w:rsidRPr="009073E0">
        <w:t>Матвеево-Курганского сельского поселения</w:t>
      </w:r>
      <w:r w:rsidRPr="009073E0">
        <w:t xml:space="preserve"> проект постановления </w:t>
      </w:r>
      <w:r w:rsidR="00CF5C69" w:rsidRPr="009073E0">
        <w:t>Администрации Матвеево-Курганского сельского поселения</w:t>
      </w:r>
      <w:r w:rsidRPr="009073E0">
        <w:t xml:space="preserve"> об утверждении отчета в соответствии с </w:t>
      </w:r>
      <w:hyperlink r:id="rId10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>Администрации Матвеево-Курганского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осуществляет реализацию основного мероприятия подпрограммы, мероприятия ведом</w:t>
      </w:r>
      <w:r w:rsidRPr="009073E0">
        <w:lastRenderedPageBreak/>
        <w:t xml:space="preserve">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своей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 предложения при разработке </w:t>
      </w:r>
      <w:r w:rsidR="00CF5C69" w:rsidRPr="009073E0">
        <w:t>Муниципальной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Муниципальной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r w:rsidR="00CF5C69" w:rsidRPr="009073E0">
        <w:t>Матвеево-Курганского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r w:rsidR="00CF5C69" w:rsidRPr="009073E0">
        <w:t>Матвеево-Курганского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полугодия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программы.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подпрограмма «Развитие жилищного хозяйства в Матвеево-Курганском сельском поселении» (далее –подпрограмма).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>Администрация Матвеево-Курганского сельского поселения.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Администрация Матвеево-Курганского сельского поселения;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улучшение технического состояния многоквартирных домов;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многоквартирными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 Матвеево-Курганского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Целевые индикаторы и показатели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r w:rsidRPr="009073E0">
              <w:t>Количествм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t xml:space="preserve">Ожидаемые результаты </w:t>
            </w:r>
            <w:r w:rsidRPr="009073E0">
              <w:lastRenderedPageBreak/>
              <w:t>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муниципальной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D33593" w:rsidP="00936586">
            <w:pPr>
              <w:pStyle w:val="ConsPlusCell"/>
            </w:pPr>
            <w:r>
              <w:rPr>
                <w:b/>
              </w:rPr>
              <w:t>287</w:t>
            </w:r>
            <w:r w:rsidR="00E52215">
              <w:rPr>
                <w:b/>
              </w:rPr>
              <w:t>,1</w:t>
            </w:r>
            <w:r w:rsidR="00D20DE6" w:rsidRPr="00DA73F3">
              <w:rPr>
                <w:b/>
              </w:rPr>
              <w:t xml:space="preserve"> </w:t>
            </w:r>
            <w:r w:rsidR="00936586" w:rsidRPr="00DA73F3">
              <w:rPr>
                <w:b/>
              </w:rPr>
              <w:t>тыс</w:t>
            </w:r>
            <w:r w:rsidR="00B214C1" w:rsidRPr="00DA73F3">
              <w:rPr>
                <w:b/>
              </w:rPr>
              <w:t>. рублей</w:t>
            </w:r>
            <w:r w:rsidR="00B214C1" w:rsidRPr="009073E0">
              <w:t>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97189E" w:rsidRPr="009073E0">
              <w:t>35,0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AB6494">
              <w:t>86,0</w:t>
            </w:r>
            <w:r w:rsidR="00596E08" w:rsidRPr="009073E0">
              <w:t xml:space="preserve"> тыс. рублей;</w:t>
            </w:r>
          </w:p>
          <w:p w:rsidR="00B214C1" w:rsidRPr="008E5032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Pr="008E5032">
              <w:t>в 2022</w:t>
            </w:r>
            <w:r w:rsidR="00936586" w:rsidRPr="008E5032">
              <w:t xml:space="preserve"> году </w:t>
            </w:r>
            <w:r w:rsidR="00F25077" w:rsidRPr="008E5032">
              <w:t>–</w:t>
            </w:r>
            <w:r w:rsidR="00596E08" w:rsidRPr="008E5032">
              <w:t xml:space="preserve"> </w:t>
            </w:r>
            <w:r w:rsidR="00D33593">
              <w:rPr>
                <w:highlight w:val="yellow"/>
              </w:rPr>
              <w:t>70,0</w:t>
            </w:r>
            <w:r w:rsidR="00596E08" w:rsidRPr="008E5032">
              <w:t xml:space="preserve"> тыс. рублей;</w:t>
            </w:r>
          </w:p>
          <w:p w:rsidR="00936586" w:rsidRPr="008E5032" w:rsidRDefault="00B214C1" w:rsidP="00B214C1">
            <w:pPr>
              <w:pStyle w:val="ConsPlusCell"/>
              <w:jc w:val="both"/>
            </w:pPr>
            <w:r w:rsidRPr="008E5032">
              <w:t xml:space="preserve"> в 2023</w:t>
            </w:r>
            <w:r w:rsidR="00936586" w:rsidRPr="008E5032">
              <w:t xml:space="preserve"> году </w:t>
            </w:r>
            <w:r w:rsidR="00F25077" w:rsidRPr="008E5032">
              <w:t>–</w:t>
            </w:r>
            <w:r w:rsidR="001B2E70" w:rsidRPr="008E5032">
              <w:t xml:space="preserve"> </w:t>
            </w:r>
            <w:r w:rsidR="00AB6494">
              <w:t>21</w:t>
            </w:r>
            <w:r w:rsidR="00491E2C" w:rsidRPr="008E5032">
              <w:t>,</w:t>
            </w:r>
            <w:r w:rsidR="00AB6494">
              <w:t>8</w:t>
            </w:r>
            <w:r w:rsidR="00596E08" w:rsidRPr="008E5032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8E5032">
              <w:t xml:space="preserve"> в 2024</w:t>
            </w:r>
            <w:r w:rsidR="00936586" w:rsidRPr="008E5032">
              <w:t xml:space="preserve"> году </w:t>
            </w:r>
            <w:r w:rsidR="00F25077" w:rsidRPr="008E5032">
              <w:t>–</w:t>
            </w:r>
            <w:r w:rsidR="00596E08" w:rsidRPr="008E5032">
              <w:t xml:space="preserve"> </w:t>
            </w:r>
            <w:r w:rsidR="00AB6494">
              <w:t>14,3</w:t>
            </w:r>
            <w:r w:rsidR="00596E08" w:rsidRPr="008E5032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812DEB" w:rsidRPr="009073E0" w:rsidRDefault="00D33593" w:rsidP="00812DEB">
            <w:pPr>
              <w:pStyle w:val="ConsPlusCell"/>
            </w:pPr>
            <w:r>
              <w:rPr>
                <w:b/>
              </w:rPr>
              <w:t>287</w:t>
            </w:r>
            <w:r w:rsidR="00812DEB">
              <w:rPr>
                <w:b/>
              </w:rPr>
              <w:t>,1</w:t>
            </w:r>
            <w:r w:rsidR="00812DEB" w:rsidRPr="00DA73F3">
              <w:rPr>
                <w:b/>
              </w:rPr>
              <w:t xml:space="preserve"> тыс. рублей</w:t>
            </w:r>
            <w:r w:rsidR="00812DEB" w:rsidRPr="009073E0">
              <w:t>, в том числе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2019 году – 33,6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2020 году – 35,0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2021 году – </w:t>
            </w:r>
            <w:r>
              <w:t>86,0</w:t>
            </w:r>
            <w:r w:rsidRPr="009073E0">
              <w:t xml:space="preserve"> тыс. рублей;</w:t>
            </w:r>
          </w:p>
          <w:p w:rsidR="00812DEB" w:rsidRPr="008E5032" w:rsidRDefault="00812DEB" w:rsidP="00812DEB">
            <w:pPr>
              <w:pStyle w:val="ConsPlusCell"/>
              <w:jc w:val="both"/>
            </w:pPr>
            <w:r w:rsidRPr="009073E0">
              <w:t xml:space="preserve"> </w:t>
            </w:r>
            <w:r w:rsidRPr="008E5032">
              <w:t xml:space="preserve">в 2022 году – </w:t>
            </w:r>
            <w:r w:rsidR="00D33593" w:rsidRPr="00D33593">
              <w:rPr>
                <w:highlight w:val="yellow"/>
              </w:rPr>
              <w:t>70,0</w:t>
            </w:r>
            <w:r w:rsidRPr="008E5032">
              <w:t xml:space="preserve"> тыс. рублей;</w:t>
            </w:r>
          </w:p>
          <w:p w:rsidR="00812DEB" w:rsidRPr="008E5032" w:rsidRDefault="00812DEB" w:rsidP="00812DEB">
            <w:pPr>
              <w:pStyle w:val="ConsPlusCell"/>
              <w:jc w:val="both"/>
            </w:pPr>
            <w:r w:rsidRPr="008E5032">
              <w:t xml:space="preserve"> в 2023 году – </w:t>
            </w:r>
            <w:r>
              <w:t>21</w:t>
            </w:r>
            <w:r w:rsidRPr="008E5032">
              <w:t>,</w:t>
            </w:r>
            <w:r>
              <w:t>8</w:t>
            </w:r>
            <w:r w:rsidRPr="008E5032">
              <w:t xml:space="preserve">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8E5032">
              <w:t xml:space="preserve"> в 2024 году – </w:t>
            </w:r>
            <w:r>
              <w:t>14,3</w:t>
            </w:r>
            <w:r w:rsidRPr="008E5032">
              <w:t xml:space="preserve">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t xml:space="preserve">- приведение технического состояния </w:t>
            </w:r>
            <w:r w:rsidR="0069699C" w:rsidRPr="009073E0">
              <w:t xml:space="preserve"> </w:t>
            </w:r>
            <w:r w:rsidRPr="009073E0">
              <w:t xml:space="preserve">многоквартирных  </w:t>
            </w:r>
            <w:r w:rsidR="0069699C" w:rsidRPr="009073E0">
              <w:t xml:space="preserve">домах </w:t>
            </w:r>
            <w:r w:rsidRPr="009073E0">
              <w:t xml:space="preserve"> в соответствие с нормативными </w:t>
            </w:r>
            <w:r w:rsidRPr="009073E0">
              <w:lastRenderedPageBreak/>
              <w:t>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собственников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 xml:space="preserve">Обеспечение мероприятий по капитальному ремонту многоквартирных домов в рамках </w:t>
      </w:r>
      <w:r w:rsidR="00E831F5" w:rsidRPr="009073E0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>Источниками финансирования подпрограммы являются средства  местного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r w:rsidR="00F46539" w:rsidRPr="009073E0">
        <w:t>МАТВЕЕВО-КУРГАНСКО</w:t>
      </w:r>
      <w:r w:rsidR="00D14D14" w:rsidRPr="009073E0">
        <w:t>М</w:t>
      </w:r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"СОЗДАНИЕ УСЛОВИЙ ДЛЯ ОБЕСПЕЧЕНИЯ КАЧЕСТВЕННЫМИ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r w:rsidR="00F46539" w:rsidRPr="009073E0">
        <w:t>МАТВЕЕВО-КУРГАНСКОГО СЕЛЬСКОГО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подпрограмма "Создание условий для обеспечения  качественными коммунальными услугами населения                               Матвеево-Курганского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«Спецэлектромонтаж»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повышение качества и надежности предоставления  коммунальных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-уровень газификации Матвеево-курганского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>- уровень освещенности Матвеево-Курганского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482DA5">
              <w:rPr>
                <w:b/>
              </w:rPr>
              <w:t>7</w:t>
            </w:r>
            <w:r w:rsidR="007F2C07">
              <w:rPr>
                <w:b/>
              </w:rPr>
              <w:t>187,4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 xml:space="preserve">594,9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</w:t>
            </w:r>
            <w:r w:rsidR="00812DEB">
              <w:t xml:space="preserve"> 333,3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7F2C07" w:rsidRPr="007F2C07">
              <w:rPr>
                <w:highlight w:val="yellow"/>
              </w:rPr>
              <w:t>434,5</w:t>
            </w:r>
            <w:r w:rsidR="007F2C07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812DEB">
              <w:t>336,6</w:t>
            </w:r>
            <w:r w:rsidR="00940FC7" w:rsidRPr="009073E0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812DEB">
              <w:t>336,3</w:t>
            </w:r>
            <w:r w:rsidR="00940FC7" w:rsidRPr="009073E0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44178A">
              <w:rPr>
                <w:b/>
              </w:rPr>
              <w:t>1</w:t>
            </w:r>
            <w:r w:rsidR="007F2C07">
              <w:rPr>
                <w:b/>
              </w:rPr>
              <w:t>698,3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2021 году – </w:t>
            </w:r>
            <w:r w:rsidR="000078A2">
              <w:rPr>
                <w:b/>
              </w:rPr>
              <w:t>285,4</w:t>
            </w:r>
            <w:r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2022 году – </w:t>
            </w:r>
            <w:r w:rsidR="002B11F1" w:rsidRPr="002B11F1">
              <w:rPr>
                <w:b/>
                <w:highlight w:val="yellow"/>
              </w:rPr>
              <w:t>24</w:t>
            </w:r>
            <w:r w:rsidR="007F2C07">
              <w:rPr>
                <w:b/>
                <w:highlight w:val="yellow"/>
              </w:rPr>
              <w:t>0</w:t>
            </w:r>
            <w:r w:rsidR="002B11F1" w:rsidRPr="002B11F1">
              <w:rPr>
                <w:b/>
                <w:highlight w:val="yellow"/>
              </w:rPr>
              <w:t>,</w:t>
            </w:r>
            <w:r w:rsidR="007F2C07">
              <w:rPr>
                <w:b/>
              </w:rPr>
              <w:t>5</w:t>
            </w:r>
            <w:r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2023 году – </w:t>
            </w:r>
            <w:r w:rsidR="000078A2">
              <w:rPr>
                <w:b/>
              </w:rPr>
              <w:t>246</w:t>
            </w:r>
            <w:r w:rsidRPr="0044178A">
              <w:rPr>
                <w:b/>
              </w:rPr>
              <w:t>,4</w:t>
            </w:r>
            <w:r>
              <w:t xml:space="preserve"> тыс. рублей</w:t>
            </w:r>
          </w:p>
          <w:p w:rsidR="009A7B02" w:rsidRPr="009073E0" w:rsidRDefault="009A7B02" w:rsidP="00596B3E">
            <w:pPr>
              <w:pStyle w:val="ConsPlusCell"/>
            </w:pPr>
            <w:r>
              <w:t xml:space="preserve">в 2024 году – </w:t>
            </w:r>
            <w:r w:rsidR="000078A2">
              <w:rPr>
                <w:b/>
              </w:rPr>
              <w:t>246</w:t>
            </w:r>
            <w:r w:rsidRPr="009A7B02">
              <w:rPr>
                <w:b/>
              </w:rPr>
              <w:t>,4</w:t>
            </w:r>
            <w:r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640141" w:rsidP="006F44F1">
            <w:pPr>
              <w:pStyle w:val="ConsPlusCell"/>
            </w:pPr>
            <w:r w:rsidRPr="00640141">
              <w:rPr>
                <w:b/>
              </w:rPr>
              <w:t>5</w:t>
            </w:r>
            <w:r w:rsidR="007F2C07">
              <w:rPr>
                <w:b/>
              </w:rPr>
              <w:t>4</w:t>
            </w:r>
            <w:r w:rsidR="002B11F1">
              <w:rPr>
                <w:b/>
              </w:rPr>
              <w:t>8</w:t>
            </w:r>
            <w:r w:rsidR="007F2C07">
              <w:rPr>
                <w:b/>
              </w:rPr>
              <w:t>9</w:t>
            </w:r>
            <w:r w:rsidRPr="00640141">
              <w:rPr>
                <w:b/>
              </w:rPr>
              <w:t>,</w:t>
            </w:r>
            <w:r w:rsidR="007F2C07">
              <w:rPr>
                <w:b/>
              </w:rPr>
              <w:t>1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A75CE2" w:rsidRPr="009073E0">
              <w:t>278,5</w:t>
            </w:r>
            <w:r w:rsidRPr="009073E0">
              <w:t xml:space="preserve"> тыс. рублей;</w:t>
            </w:r>
          </w:p>
          <w:p w:rsidR="00DC083D" w:rsidRPr="009073E0" w:rsidRDefault="00E875F0" w:rsidP="00DC083D">
            <w:pPr>
              <w:pStyle w:val="ConsPlusCell"/>
            </w:pPr>
            <w:r>
              <w:t xml:space="preserve">  в 2021 году – </w:t>
            </w:r>
            <w:r w:rsidR="00961626">
              <w:t>47,9</w:t>
            </w:r>
            <w:r w:rsidR="00DC083D"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</w:t>
            </w:r>
            <w:r w:rsidR="007F2C07" w:rsidRPr="007F2C07">
              <w:rPr>
                <w:highlight w:val="yellow"/>
              </w:rPr>
              <w:t>194,0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</w:t>
            </w:r>
            <w:r w:rsidR="00961626">
              <w:t>90,2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</w:t>
            </w:r>
            <w:r w:rsidR="00961626">
              <w:t>90,2</w:t>
            </w:r>
            <w:r w:rsidRPr="009073E0">
              <w:t>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lastRenderedPageBreak/>
              <w:t xml:space="preserve">  в 2027 году – 489,6 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 xml:space="preserve">- повышение удовлетворенности населения Матвеево-Курганского  сельского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коммунальных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r w:rsidR="004C4349" w:rsidRPr="009073E0">
        <w:t>Матвеево-Курганскому сельскому поселению</w:t>
      </w:r>
      <w:r w:rsidRPr="009073E0">
        <w:t xml:space="preserve"> области по состоянию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r w:rsidR="004C4349" w:rsidRPr="009073E0">
        <w:t xml:space="preserve">Матвеево-Курганского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r w:rsidR="00770E89" w:rsidRPr="009073E0">
        <w:t>Матвеево-Курганского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повышение платежной дисциплины газопотребления;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собственность.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(например, развитие коммунальной инфраструктуры в рамках проектов государственно-частного партнерства и другие), может затруднить выполнение подпрограммы.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</w:t>
      </w:r>
      <w:r w:rsidRPr="009073E0">
        <w:lastRenderedPageBreak/>
        <w:t>но, как показывает предыдущий опыт, также может потребовать значительных сроков практического 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обстоятельствах: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В соответствии с </w:t>
      </w:r>
      <w:hyperlink r:id="rId11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</w:t>
      </w:r>
      <w:r w:rsidRPr="009073E0">
        <w:lastRenderedPageBreak/>
        <w:t>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</w:t>
      </w:r>
      <w:r w:rsidR="00FC1281" w:rsidRPr="009073E0">
        <w:t>р</w:t>
      </w:r>
      <w:r w:rsidRPr="009073E0">
        <w:t>го</w:t>
      </w:r>
      <w:r w:rsidR="00FC1281" w:rsidRPr="009073E0">
        <w:t xml:space="preserve">-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ориентирам, определенным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повышению качества жилищно-коммунальных услуг", а также </w:t>
      </w:r>
      <w:hyperlink r:id="rId13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инвестиционных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r w:rsidR="009C0E05" w:rsidRPr="009073E0">
        <w:t>Матвеево-Курганском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подпрограммы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инфраструктуры;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регулирование;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770E89" w:rsidRPr="009073E0">
        <w:t>Матвеево-Курганского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Комплексный характер целей и задач подпрограммы обуславливает целесообразность </w:t>
      </w:r>
      <w:r w:rsidRPr="009073E0">
        <w:lastRenderedPageBreak/>
        <w:t>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r w:rsidR="00770E89" w:rsidRPr="009073E0">
        <w:t>Матвеево-Курганского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муниципальных программ модернизации систем коммунальной инфраструктуры </w:t>
      </w:r>
      <w:r w:rsidR="00DB7EFE" w:rsidRPr="009073E0">
        <w:t xml:space="preserve">Матвеево-Курганского сельского поселения </w:t>
      </w:r>
      <w:r w:rsidRPr="009073E0">
        <w:t xml:space="preserve">в соответствии с Федеральным </w:t>
      </w:r>
      <w:hyperlink r:id="rId14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жилищно-коммунального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</w:t>
      </w:r>
      <w:r w:rsidR="00823341">
        <w:t>187,4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483FBD">
        <w:t>1</w:t>
      </w:r>
      <w:r w:rsidR="00823341">
        <w:t>698</w:t>
      </w:r>
      <w:r w:rsidR="00985C27">
        <w:t>,</w:t>
      </w:r>
      <w:r w:rsidR="00823341">
        <w:t>3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985C27">
        <w:t>5</w:t>
      </w:r>
      <w:r w:rsidR="00823341">
        <w:t>489,1</w:t>
      </w:r>
      <w:r w:rsidR="00985C27">
        <w:t>,</w:t>
      </w:r>
      <w:r w:rsidR="000E6DE9">
        <w:t>6</w:t>
      </w:r>
      <w:r w:rsidRPr="009073E0">
        <w:t>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 xml:space="preserve">, объемы финансирования и направления мероприятий подпрограммы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софинансиро</w:t>
      </w:r>
      <w:r w:rsidRPr="009073E0">
        <w:lastRenderedPageBreak/>
        <w:t>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учетом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>БЛАГОУСТРОЙСТВО ТЕРРИТОРИИ МАТВЕЕВО-КУРГАНСКОГО СЕЛЬСКОГО ПОСЕЛЕНИЯ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МАТВЕЕВО-КУРГАНСКОГО СЕЛЬСКОГО ПОСЕЛЕНИЯ"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подпрограмма "Благоустройство территории Матвеево-Курганского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«Спецэлектромонтаж»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>овышение общего уровня благоустройства и совершенствование эстетического вида поселения.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>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 xml:space="preserve">. Привлечение к активному участи в решении вопросов благоустройства и поддержания санитарного порядка на территориях общего пользования , прилегающих территориях и </w:t>
            </w:r>
            <w:r w:rsidR="00091332" w:rsidRPr="009073E0">
              <w:lastRenderedPageBreak/>
              <w:t>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t>4</w:t>
            </w:r>
            <w:r w:rsidR="00091332" w:rsidRPr="009073E0">
              <w:t xml:space="preserve">. Активизация работы населения по благоустройству и наведению  санитарного порядка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малых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753ABF">
              <w:rPr>
                <w:b/>
              </w:rPr>
              <w:t>1</w:t>
            </w:r>
            <w:r w:rsidR="00DB2B77">
              <w:rPr>
                <w:b/>
              </w:rPr>
              <w:t>92424,5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75CE2" w:rsidRPr="009073E0">
              <w:t>1</w:t>
            </w:r>
            <w:r w:rsidR="000E622F">
              <w:t>96</w:t>
            </w:r>
            <w:r w:rsidR="00F846ED">
              <w:t>00</w:t>
            </w:r>
            <w:r w:rsidR="00A75CE2" w:rsidRPr="009073E0">
              <w:t>,</w:t>
            </w:r>
            <w:r w:rsidR="00F846ED">
              <w:t>3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3605AD">
              <w:t xml:space="preserve"> 21978,9</w:t>
            </w:r>
            <w:r w:rsidR="00A46747" w:rsidRPr="009073E0">
              <w:t xml:space="preserve"> </w:t>
            </w:r>
            <w:r w:rsidR="00CC0CC9" w:rsidRPr="009073E0">
              <w:t>тыс. рублей;</w:t>
            </w:r>
          </w:p>
          <w:p w:rsidR="00091332" w:rsidRPr="00F42CCB" w:rsidRDefault="007419F3" w:rsidP="001244F3">
            <w:pPr>
              <w:pStyle w:val="ConsPlusCell"/>
            </w:pPr>
            <w:r w:rsidRPr="009073E0">
              <w:t xml:space="preserve">  </w:t>
            </w:r>
            <w:r w:rsidRPr="00F42CCB">
              <w:t>в 2022</w:t>
            </w:r>
            <w:r w:rsidR="00091332" w:rsidRPr="00F42CCB">
              <w:t xml:space="preserve"> году </w:t>
            </w:r>
            <w:r w:rsidR="00954A05" w:rsidRPr="00F42CCB">
              <w:t>–</w:t>
            </w:r>
            <w:r w:rsidR="00CC0CC9" w:rsidRPr="00F42CCB">
              <w:t xml:space="preserve"> </w:t>
            </w:r>
            <w:r w:rsidR="00DB2B77" w:rsidRPr="00DB2B77">
              <w:rPr>
                <w:highlight w:val="yellow"/>
              </w:rPr>
              <w:t>22602,6</w:t>
            </w:r>
            <w:r w:rsidR="00A46747" w:rsidRPr="00F42CCB">
              <w:t xml:space="preserve"> тыс</w:t>
            </w:r>
            <w:r w:rsidR="00CC0CC9" w:rsidRPr="00F42CCB">
              <w:t>. рублей</w:t>
            </w:r>
            <w:r w:rsidR="00091332" w:rsidRPr="00F42CCB">
              <w:t>;</w:t>
            </w:r>
          </w:p>
          <w:p w:rsidR="00091332" w:rsidRPr="00F42CCB" w:rsidRDefault="007419F3" w:rsidP="001244F3">
            <w:pPr>
              <w:pStyle w:val="ConsPlusCell"/>
            </w:pPr>
            <w:r w:rsidRPr="00F42CCB">
              <w:t xml:space="preserve">  в 2023</w:t>
            </w:r>
            <w:r w:rsidR="00091332" w:rsidRPr="00F42CCB">
              <w:t xml:space="preserve"> году </w:t>
            </w:r>
            <w:r w:rsidR="00954A05" w:rsidRPr="00F42CCB">
              <w:t>–</w:t>
            </w:r>
            <w:r w:rsidR="00CC0CC9" w:rsidRPr="00F42CCB">
              <w:t xml:space="preserve"> </w:t>
            </w:r>
            <w:r w:rsidR="00FB7FDB" w:rsidRPr="00F42CCB">
              <w:t>17</w:t>
            </w:r>
            <w:r w:rsidR="007D462A" w:rsidRPr="00F42CCB">
              <w:t>646,3</w:t>
            </w:r>
            <w:r w:rsidR="00EF698E" w:rsidRPr="00F42CCB">
              <w:t xml:space="preserve"> </w:t>
            </w:r>
            <w:r w:rsidR="00A46747" w:rsidRPr="00F42CCB">
              <w:t>тыс</w:t>
            </w:r>
            <w:r w:rsidR="00CC0CC9" w:rsidRPr="00F42CCB"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F42CCB">
              <w:t xml:space="preserve">  в 2024</w:t>
            </w:r>
            <w:r w:rsidR="00091332" w:rsidRPr="00F42CCB">
              <w:t xml:space="preserve"> году </w:t>
            </w:r>
            <w:r w:rsidR="00954A05" w:rsidRPr="00F42CCB">
              <w:t>–</w:t>
            </w:r>
            <w:r w:rsidR="00CC0CC9" w:rsidRPr="00F42CCB">
              <w:t xml:space="preserve"> </w:t>
            </w:r>
            <w:r w:rsidR="007D462A" w:rsidRPr="00F42CCB">
              <w:t>15249,5</w:t>
            </w:r>
            <w:r w:rsidR="00EF698E" w:rsidRPr="00F42CCB">
              <w:t xml:space="preserve"> </w:t>
            </w:r>
            <w:r w:rsidR="00A46747" w:rsidRPr="00F42CCB">
              <w:t>тыс</w:t>
            </w:r>
            <w:r w:rsidR="00CC0CC9" w:rsidRPr="00F42CCB"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3A117D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="00A75CE2" w:rsidRPr="009073E0">
              <w:rPr>
                <w:b/>
              </w:rPr>
              <w:t>1</w:t>
            </w:r>
            <w:r w:rsidR="00BF6E50">
              <w:rPr>
                <w:b/>
              </w:rPr>
              <w:t>785,9</w:t>
            </w:r>
            <w:r w:rsidR="00A75CE2" w:rsidRPr="009073E0">
              <w:rPr>
                <w:b/>
              </w:rPr>
              <w:t xml:space="preserve">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  <w:r w:rsidRPr="009073E0">
              <w:rPr>
                <w:b/>
              </w:rPr>
              <w:t xml:space="preserve">, </w:t>
            </w:r>
            <w:r w:rsidR="00A75CE2" w:rsidRPr="009073E0">
              <w:t>в том числе</w:t>
            </w:r>
            <w:r w:rsidR="00A75CE2" w:rsidRPr="009073E0">
              <w:rPr>
                <w:b/>
              </w:rPr>
              <w:t xml:space="preserve"> 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Pr="009073E0">
              <w:t>2020 год</w:t>
            </w:r>
            <w:r w:rsidRPr="009073E0">
              <w:rPr>
                <w:b/>
              </w:rPr>
              <w:t>- 1</w:t>
            </w:r>
            <w:r w:rsidR="00BF6E50">
              <w:rPr>
                <w:b/>
              </w:rPr>
              <w:t xml:space="preserve">785,9 </w:t>
            </w:r>
            <w:r w:rsidRPr="009073E0">
              <w:t>тыс. рублей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</w:t>
            </w:r>
            <w:r w:rsidR="00DB2B77">
              <w:rPr>
                <w:b/>
              </w:rPr>
              <w:t>90638,6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1</w:t>
            </w:r>
            <w:r w:rsidR="007449AA">
              <w:t>7</w:t>
            </w:r>
            <w:r w:rsidR="00BF6E50">
              <w:t>814</w:t>
            </w:r>
            <w:r w:rsidR="00A75CE2" w:rsidRPr="009073E0">
              <w:t>,</w:t>
            </w:r>
            <w:r w:rsidR="00BF6E50">
              <w:t>4</w:t>
            </w:r>
            <w:r w:rsidRPr="009073E0">
              <w:t xml:space="preserve"> тыс. рублей;</w:t>
            </w:r>
          </w:p>
          <w:p w:rsidR="000F5253" w:rsidRPr="009073E0" w:rsidRDefault="00E242C5" w:rsidP="000F5253">
            <w:pPr>
              <w:pStyle w:val="ConsPlusCell"/>
            </w:pPr>
            <w:r w:rsidRPr="009073E0">
              <w:t xml:space="preserve">  </w:t>
            </w:r>
            <w:r w:rsidR="000F5253" w:rsidRPr="009073E0">
              <w:t>в 2021 году – 14</w:t>
            </w:r>
            <w:r w:rsidR="000F5253">
              <w:t>852,1</w:t>
            </w:r>
            <w:r w:rsidR="000F5253" w:rsidRPr="009073E0">
              <w:t xml:space="preserve"> тыс. рублей;</w:t>
            </w:r>
          </w:p>
          <w:p w:rsidR="007D462A" w:rsidRPr="00F42CCB" w:rsidRDefault="000F5253" w:rsidP="007D462A">
            <w:pPr>
              <w:pStyle w:val="ConsPlusCell"/>
            </w:pPr>
            <w:r w:rsidRPr="009073E0">
              <w:t xml:space="preserve">  </w:t>
            </w:r>
            <w:r w:rsidRPr="00F42CCB">
              <w:t xml:space="preserve">в 2022 году – </w:t>
            </w:r>
            <w:r w:rsidR="00DB2B77" w:rsidRPr="00DB2B77">
              <w:rPr>
                <w:highlight w:val="yellow"/>
              </w:rPr>
              <w:t>22602,6</w:t>
            </w:r>
            <w:r w:rsidR="007D462A" w:rsidRPr="00F42CCB">
              <w:t xml:space="preserve"> тыс. рублей;</w:t>
            </w:r>
          </w:p>
          <w:p w:rsidR="007D462A" w:rsidRPr="00F42CCB" w:rsidRDefault="007D462A" w:rsidP="007D462A">
            <w:pPr>
              <w:pStyle w:val="ConsPlusCell"/>
            </w:pPr>
            <w:r w:rsidRPr="00F42CCB">
              <w:t xml:space="preserve">  в 2023 году – 17646,3 тыс. рублей;</w:t>
            </w:r>
          </w:p>
          <w:p w:rsidR="007D462A" w:rsidRPr="009073E0" w:rsidRDefault="007D462A" w:rsidP="007D462A">
            <w:pPr>
              <w:pStyle w:val="ConsPlusCell"/>
            </w:pPr>
            <w:r w:rsidRPr="00F42CCB">
              <w:t xml:space="preserve">  в 2024 году – 15249,5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lastRenderedPageBreak/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2029 году – 13053,6 тыс. рублей;</w:t>
            </w:r>
          </w:p>
          <w:p w:rsidR="00091332" w:rsidRPr="009073E0" w:rsidRDefault="00BF6E50" w:rsidP="00BF6E50">
            <w:pPr>
              <w:pStyle w:val="ConsPlusCell"/>
            </w:pPr>
            <w:r>
              <w:t xml:space="preserve"> в 2030 году -   13053,6 тыс. рублей.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 xml:space="preserve">Повышение уровня благоустройства территории Матвеево-Курганского сельского поселения: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>-привлечение жителей, в т.ч.</w:t>
            </w:r>
            <w:r w:rsidR="005E3543" w:rsidRPr="009073E0">
              <w:t xml:space="preserve"> </w:t>
            </w:r>
            <w:r w:rsidRPr="009073E0">
              <w:t>молодого поколения, к участию по благоустрой</w:t>
            </w:r>
            <w:r w:rsidR="00416398" w:rsidRPr="009073E0">
              <w:t>ству населенных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>повышение протяженности освещенных улиц населенных пунктов Матвеево-Курганского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r w:rsidR="002430E5" w:rsidRPr="009073E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законом  от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r w:rsidRPr="009073E0">
        <w:rPr>
          <w:bCs/>
        </w:rPr>
        <w:t>и  конкретизирует целевые критерии развития благоустройства Матвеево-Курганского сельского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lastRenderedPageBreak/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lastRenderedPageBreak/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проводиться работа, направленная на: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 xml:space="preserve">Для достижения указанной цели должна быть решена основная задача - поддержание </w:t>
      </w:r>
      <w:r w:rsidRPr="009073E0">
        <w:rPr>
          <w:lang w:val="ru-RU"/>
        </w:rPr>
        <w:lastRenderedPageBreak/>
        <w:t>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бродячих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животных</w:t>
      </w:r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общему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числу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бродячих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животых</w:t>
      </w:r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пунктов в Матвеево-Курганском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>подготовка и утверждение муниципальной  программы благоустройства Матвеево-курганского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</w:t>
      </w:r>
      <w:r w:rsidR="00345DD9" w:rsidRPr="009073E0">
        <w:t>х</w:t>
      </w:r>
      <w:r w:rsidR="003F692F" w:rsidRPr="009073E0">
        <w:t xml:space="preserve"> решением Собрания депутатов Матвеево-Курганского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>Основное мероприятие 2</w:t>
      </w:r>
      <w:r w:rsidR="00952696" w:rsidRPr="009073E0">
        <w:rPr>
          <w:u w:val="single"/>
        </w:rPr>
        <w:t>.</w:t>
      </w:r>
      <w:r w:rsidR="00952696" w:rsidRPr="009073E0">
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Повышение уровня благоустройства территории Матвеево-Курганского сельского поселения;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вида  площадей,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>Повышение протяженности освещенных улиц населенных пунктов Матвеево-Курганского</w:t>
      </w:r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</w:t>
      </w:r>
      <w:r>
        <w:t xml:space="preserve">подпрограммы </w:t>
      </w:r>
      <w:r w:rsidRPr="009073E0">
        <w:t xml:space="preserve">в 2019-2030 годах составляет </w:t>
      </w:r>
      <w:r w:rsidR="00AE0A88">
        <w:t>1</w:t>
      </w:r>
      <w:r w:rsidR="00DB2B77">
        <w:t>92424,5</w:t>
      </w:r>
      <w:r w:rsidR="004658FC">
        <w:t xml:space="preserve"> </w:t>
      </w:r>
      <w:r w:rsidRPr="009073E0">
        <w:t>тыс .рублей (в текущих ценах) за счет всех источников финансирования, в том числе: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– </w:t>
      </w:r>
      <w:r>
        <w:t>1</w:t>
      </w:r>
      <w:r w:rsidR="00C87DAE">
        <w:t>785,9</w:t>
      </w:r>
      <w:r w:rsidRPr="009073E0">
        <w:t xml:space="preserve"> тыс. 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– </w:t>
      </w:r>
      <w:r>
        <w:t>1</w:t>
      </w:r>
      <w:r w:rsidR="00DB2B77">
        <w:t>90638,6</w:t>
      </w:r>
      <w:r w:rsidR="00AE0A88">
        <w:t xml:space="preserve"> </w:t>
      </w:r>
      <w:r w:rsidRPr="009073E0">
        <w:t xml:space="preserve"> тыс.рублей;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>за счет средств внебюджетных источников –</w:t>
      </w:r>
      <w:r w:rsidR="00D949D7">
        <w:t xml:space="preserve"> </w:t>
      </w:r>
      <w:r w:rsidRPr="009073E0">
        <w:t>0 рублей.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Матвеево-Курганского</w:t>
      </w:r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r w:rsidRPr="009073E0">
        <w:t>А.А.Новак</w:t>
      </w: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5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9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90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8E3856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105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8E3856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8E3856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Муниципальная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жилищно-коммуналь-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сельского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B64ABB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20230,2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7D45E1" w:rsidP="00301B9A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22398,2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462BA3" w:rsidRDefault="008E3856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magenta"/>
              </w:rPr>
              <w:t>23107,4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8638CC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17687,3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0F07E6" w:rsidRDefault="000F07E6" w:rsidP="00C30A36">
            <w:pPr>
              <w:rPr>
                <w:b/>
                <w:sz w:val="20"/>
                <w:szCs w:val="20"/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15283,0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8E3856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жилищного</w:t>
            </w:r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7D45E1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86,0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E3856" w:rsidRDefault="004658FC" w:rsidP="0095047C">
            <w:pPr>
              <w:rPr>
                <w:highlight w:val="magenta"/>
              </w:rPr>
            </w:pPr>
            <w:r w:rsidRPr="008E3856">
              <w:rPr>
                <w:b/>
                <w:sz w:val="20"/>
                <w:szCs w:val="20"/>
                <w:highlight w:val="magenta"/>
              </w:rPr>
              <w:t>70,0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517166" w:rsidRDefault="00685BEB" w:rsidP="00685BEB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21</w:t>
            </w:r>
            <w:r w:rsidR="00517166" w:rsidRPr="00517166">
              <w:rPr>
                <w:b/>
                <w:sz w:val="20"/>
                <w:szCs w:val="20"/>
                <w:highlight w:val="cyan"/>
              </w:rPr>
              <w:t>,</w:t>
            </w:r>
            <w:r>
              <w:rPr>
                <w:b/>
                <w:sz w:val="20"/>
                <w:szCs w:val="20"/>
                <w:highlight w:val="cyan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0F07E6" w:rsidRDefault="00685BEB" w:rsidP="00C30A36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6" w:name="Par2273"/>
            <w:bookmarkEnd w:id="6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C13536" w:rsidRPr="00F43A19" w:rsidTr="008E3856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подпрограммы «Развитие жилищного хозяйства» муниципальной программы  «Обеспечение качественными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населения Матвеево-Курганского сельского поселения»</w:t>
            </w:r>
          </w:p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C13536" w:rsidP="002F1C79">
            <w:pPr>
              <w:rPr>
                <w:sz w:val="20"/>
                <w:szCs w:val="20"/>
                <w:highlight w:val="yellow"/>
              </w:rPr>
            </w:pPr>
            <w:r w:rsidRPr="00A75CE2">
              <w:rPr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67883" w:rsidRDefault="007D45E1" w:rsidP="00301B9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8E3856" w:rsidRDefault="004658FC" w:rsidP="00946674">
            <w:pPr>
              <w:rPr>
                <w:highlight w:val="magenta"/>
              </w:rPr>
            </w:pPr>
            <w:r w:rsidRPr="008E3856">
              <w:rPr>
                <w:b/>
                <w:sz w:val="20"/>
                <w:szCs w:val="20"/>
                <w:highlight w:val="magenta"/>
              </w:rPr>
              <w:t>70,0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517166" w:rsidRDefault="00685BEB" w:rsidP="00946674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0F07E6" w:rsidRDefault="00685BEB" w:rsidP="00C30A3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E77CDD" w:rsidRPr="00F43A19" w:rsidTr="008E3856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коммунального</w:t>
            </w:r>
          </w:p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900366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A75CE2" w:rsidRDefault="00E77CDD" w:rsidP="00E77CDD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594,9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67883" w:rsidRDefault="00E77CDD" w:rsidP="00E77CDD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333,3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8E3856" w:rsidRDefault="008E3856" w:rsidP="00E77CDD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434,5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E77CDD" w:rsidRPr="00F43A19" w:rsidTr="008E3856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900366" w:rsidRDefault="00E77CDD" w:rsidP="00E77CD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  <w:r>
              <w:rPr>
                <w:color w:val="FF0000"/>
                <w:sz w:val="20"/>
                <w:szCs w:val="20"/>
              </w:rPr>
              <w:t xml:space="preserve"> включая налоги</w:t>
            </w:r>
          </w:p>
          <w:p w:rsidR="00E77CDD" w:rsidRPr="00F43A19" w:rsidRDefault="00E77CDD" w:rsidP="00E77C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A75CE2" w:rsidRDefault="00E77CDD" w:rsidP="00E77CDD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259,3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67883" w:rsidRDefault="00E77CDD" w:rsidP="00E77CDD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41,5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8E3856" w:rsidRDefault="008E3856" w:rsidP="00E77CDD">
            <w:pPr>
              <w:rPr>
                <w:b/>
                <w:i/>
                <w:sz w:val="20"/>
                <w:szCs w:val="20"/>
                <w:highlight w:val="magenta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179,4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75,3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75,3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E77CDD" w:rsidRPr="00F43A19" w:rsidTr="008E3856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900366" w:rsidRDefault="00E77CDD" w:rsidP="00E77CD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DD5D58" w:rsidRDefault="00E77CDD" w:rsidP="00E77CDD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E77CDD" w:rsidRDefault="00E77CDD" w:rsidP="00E77CD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A75CE2" w:rsidRDefault="00E77CDD" w:rsidP="00E77CDD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335,6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67883" w:rsidRDefault="00E77CDD" w:rsidP="00E77CDD">
            <w:pPr>
              <w:rPr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291,8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8E3856" w:rsidRDefault="008E3856" w:rsidP="00E77CDD">
            <w:pPr>
              <w:rPr>
                <w:highlight w:val="magenta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255,1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  <w:highlight w:val="cyan"/>
              </w:rPr>
              <w:t>261,3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  <w:highlight w:val="cyan"/>
              </w:rPr>
              <w:t>261,3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8E3856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«Обеспечение качественными жилищно-коммунальными услугами насе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ления Матвеево-Курганского 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 w:rsidRPr="00517166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517166" w:rsidRDefault="005E354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8E3856">
              <w:rPr>
                <w:b/>
                <w:i/>
                <w:sz w:val="20"/>
                <w:szCs w:val="20"/>
                <w:highlight w:val="magenta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517166" w:rsidRDefault="005E354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517166"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0F07E6" w:rsidRDefault="005E354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0F07E6"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E3856" w:rsidRPr="00842441" w:rsidTr="008E3856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842441" w:rsidRDefault="008E3856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842441" w:rsidRDefault="008E3856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842441" w:rsidRDefault="008E3856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E3856" w:rsidRPr="00842441" w:rsidRDefault="008E3856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2B5F4D" w:rsidRDefault="008E3856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A75CE2" w:rsidRDefault="008E385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B67883" w:rsidRDefault="008E3856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21978,9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8E3856" w:rsidRDefault="008E3856" w:rsidP="008E3856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22602,9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A3772C" w:rsidRDefault="008E3856" w:rsidP="00A3772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17646,3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0F07E6" w:rsidRDefault="008E3856">
            <w:pPr>
              <w:rPr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15249,5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Default="008E3856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Default="008E3856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Default="008E3856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Default="008E3856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Default="008E3856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Default="008E3856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E3856" w:rsidRPr="00F43A19" w:rsidTr="008E3856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F43A19" w:rsidRDefault="008E3856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F43A19" w:rsidRDefault="008E3856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E3856" w:rsidRPr="00F43A19" w:rsidRDefault="008E3856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F43A19" w:rsidRDefault="008E3856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8C2C0C" w:rsidRDefault="008E3856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A75CE2" w:rsidRDefault="008E3856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12197,4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B67883" w:rsidRDefault="008E3856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12757,7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8E3856" w:rsidRDefault="008E3856" w:rsidP="008E3856">
            <w:pPr>
              <w:rPr>
                <w:b/>
                <w:sz w:val="20"/>
                <w:szCs w:val="20"/>
                <w:highlight w:val="magenta"/>
              </w:rPr>
            </w:pPr>
            <w:r w:rsidRPr="008E3856">
              <w:rPr>
                <w:b/>
                <w:sz w:val="20"/>
                <w:szCs w:val="20"/>
                <w:highlight w:val="magenta"/>
              </w:rPr>
              <w:t>1</w:t>
            </w:r>
            <w:r>
              <w:rPr>
                <w:b/>
                <w:sz w:val="20"/>
                <w:szCs w:val="20"/>
                <w:highlight w:val="magenta"/>
              </w:rPr>
              <w:t>2745,2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A3772C" w:rsidRDefault="008E3856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11596,3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Pr="000F07E6" w:rsidRDefault="008E3856">
            <w:pPr>
              <w:rPr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11967,1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Default="008E3856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Default="008E3856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Default="008E3856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Default="008E3856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Default="008E3856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856" w:rsidRDefault="008E3856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E3856" w:rsidRPr="00F43A19" w:rsidTr="008E3856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43A19" w:rsidRDefault="008E3856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43A19" w:rsidRDefault="008E3856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E3856" w:rsidRPr="00F43A19" w:rsidRDefault="008E3856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43A19" w:rsidRDefault="008E3856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E3856" w:rsidRPr="00F43A19" w:rsidRDefault="008E3856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E3856" w:rsidRPr="00F43A19" w:rsidRDefault="008E3856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8C2C0C" w:rsidRDefault="008E3856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A75CE2" w:rsidRDefault="008E3856" w:rsidP="008C2C0C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490</w:t>
            </w:r>
            <w:r w:rsidRPr="00A75CE2">
              <w:rPr>
                <w:b/>
                <w:sz w:val="20"/>
                <w:szCs w:val="20"/>
                <w:highlight w:val="yellow"/>
              </w:rPr>
              <w:t>,</w:t>
            </w: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67883" w:rsidRDefault="008E3856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8E3856" w:rsidRDefault="008E3856" w:rsidP="00B04E5E">
            <w:pPr>
              <w:rPr>
                <w:b/>
                <w:sz w:val="20"/>
                <w:szCs w:val="20"/>
                <w:highlight w:val="magenta"/>
              </w:rPr>
            </w:pPr>
            <w:r w:rsidRPr="008E3856">
              <w:rPr>
                <w:b/>
                <w:sz w:val="20"/>
                <w:szCs w:val="20"/>
                <w:highlight w:val="magenta"/>
              </w:rPr>
              <w:t>297,5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A3772C" w:rsidRDefault="008E3856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0F07E6" w:rsidRDefault="008E3856" w:rsidP="00C30A36">
            <w:pPr>
              <w:rPr>
                <w:b/>
                <w:sz w:val="20"/>
                <w:szCs w:val="20"/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8E3856" w:rsidRPr="00F43A19" w:rsidTr="008E3856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43A19" w:rsidRDefault="008E3856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43A19" w:rsidRDefault="008E3856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E3856" w:rsidRPr="00F43A19" w:rsidRDefault="008E3856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43A19" w:rsidRDefault="008E3856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E3856" w:rsidRPr="00F43A19" w:rsidRDefault="008E3856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A75CE2" w:rsidRDefault="008E385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2013,1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67883" w:rsidRDefault="008E3856" w:rsidP="00301B9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2921,6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A3772C" w:rsidRDefault="009B047D" w:rsidP="008E385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magenta"/>
              </w:rPr>
              <w:t>263</w:t>
            </w:r>
            <w:r w:rsidR="008E3856">
              <w:rPr>
                <w:b/>
                <w:sz w:val="20"/>
                <w:szCs w:val="20"/>
                <w:highlight w:val="magenta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A3772C" w:rsidRDefault="008E3856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C30A36">
            <w:pPr>
              <w:rPr>
                <w:b/>
                <w:sz w:val="20"/>
                <w:szCs w:val="20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1302,1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8E3856" w:rsidRPr="00F43A19" w:rsidTr="008E3856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43A19" w:rsidRDefault="008E3856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43A19" w:rsidRDefault="008E3856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E3856" w:rsidRPr="00F43A19" w:rsidRDefault="008E3856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43A19" w:rsidRDefault="008E3856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E3856" w:rsidRPr="00F43A19" w:rsidRDefault="008E3856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E3856" w:rsidRPr="00F43A19" w:rsidRDefault="008E3856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07834" w:rsidRDefault="008E3856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A75CE2" w:rsidRDefault="008E385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2736,3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67883" w:rsidRDefault="008E3856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5696,4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8B09D2" w:rsidRDefault="009B047D" w:rsidP="005E6174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magenta"/>
              </w:rPr>
              <w:t>6918,8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8B09D2" w:rsidRDefault="008E385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3502,0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0F07E6" w:rsidRDefault="008E3856">
            <w:pPr>
              <w:rPr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1620,3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Default="008E3856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Default="008E3856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Default="008E3856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Default="008E3856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Default="008E3856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Default="008E3856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  <w:tr w:rsidR="008E3856" w:rsidRPr="00F43A19" w:rsidTr="008E3856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43A19" w:rsidRDefault="008E3856" w:rsidP="00AC787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Default="008E3856" w:rsidP="003F581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Расходы на реализацию проектов инициативного бюджетирования</w:t>
            </w:r>
          </w:p>
          <w:p w:rsidR="008E3856" w:rsidRPr="00F43A19" w:rsidRDefault="008E3856" w:rsidP="003F581E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E3856" w:rsidRPr="00F43A19" w:rsidRDefault="008E3856" w:rsidP="003F581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43A19" w:rsidRDefault="008E3856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Default="008E3856" w:rsidP="00F07A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Default="008E385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2163,5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D15D5" w:rsidRDefault="008E385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BD15D5" w:rsidRDefault="008E3856" w:rsidP="00B04E5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25E20" w:rsidRDefault="008E385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25E20" w:rsidRDefault="008E385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25E20" w:rsidRDefault="008E385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25E20" w:rsidRDefault="008E385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25E20" w:rsidRDefault="008E385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25E20" w:rsidRDefault="008E385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25E20" w:rsidRDefault="008E3856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56" w:rsidRPr="00F25E20" w:rsidRDefault="008E3856">
            <w:pPr>
              <w:rPr>
                <w:b/>
                <w:sz w:val="20"/>
                <w:szCs w:val="20"/>
              </w:rPr>
            </w:pP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56" w:rsidRDefault="008E3856">
      <w:r>
        <w:separator/>
      </w:r>
    </w:p>
  </w:endnote>
  <w:endnote w:type="continuationSeparator" w:id="0">
    <w:p w:rsidR="008E3856" w:rsidRDefault="008E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56" w:rsidRPr="00AD6843" w:rsidRDefault="008E3856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801B07">
      <w:rPr>
        <w:noProof/>
        <w:sz w:val="16"/>
      </w:rPr>
      <w:t>5</w:t>
    </w:r>
    <w:r w:rsidRPr="00AD6843">
      <w:rPr>
        <w:sz w:val="16"/>
      </w:rPr>
      <w:fldChar w:fldCharType="end"/>
    </w:r>
  </w:p>
  <w:p w:rsidR="008E3856" w:rsidRDefault="008E3856">
    <w:pPr>
      <w:pStyle w:val="a6"/>
    </w:pPr>
  </w:p>
  <w:p w:rsidR="008E3856" w:rsidRDefault="008E38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56" w:rsidRDefault="008E3856">
      <w:r>
        <w:separator/>
      </w:r>
    </w:p>
  </w:footnote>
  <w:footnote w:type="continuationSeparator" w:id="0">
    <w:p w:rsidR="008E3856" w:rsidRDefault="008E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32A4"/>
    <w:rsid w:val="000076BF"/>
    <w:rsid w:val="000078A2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477D5"/>
    <w:rsid w:val="000512EB"/>
    <w:rsid w:val="00052AA6"/>
    <w:rsid w:val="00052D3F"/>
    <w:rsid w:val="000536A5"/>
    <w:rsid w:val="00054FBD"/>
    <w:rsid w:val="00055950"/>
    <w:rsid w:val="000561BD"/>
    <w:rsid w:val="000562B4"/>
    <w:rsid w:val="000565C9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6C72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591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13A9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6DE9"/>
    <w:rsid w:val="000E7409"/>
    <w:rsid w:val="000F07E6"/>
    <w:rsid w:val="000F4EE9"/>
    <w:rsid w:val="000F5253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8CD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436B"/>
    <w:rsid w:val="001F5949"/>
    <w:rsid w:val="001F6D2A"/>
    <w:rsid w:val="0020142E"/>
    <w:rsid w:val="00201FB5"/>
    <w:rsid w:val="00202628"/>
    <w:rsid w:val="0020310F"/>
    <w:rsid w:val="00203BC5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91F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1DEE"/>
    <w:rsid w:val="002641FE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11F1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0FBB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20C4"/>
    <w:rsid w:val="00303676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8FF"/>
    <w:rsid w:val="00336967"/>
    <w:rsid w:val="0033795D"/>
    <w:rsid w:val="003400C2"/>
    <w:rsid w:val="00340540"/>
    <w:rsid w:val="00340881"/>
    <w:rsid w:val="00340AFA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5AD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639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0288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1B93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472"/>
    <w:rsid w:val="00404809"/>
    <w:rsid w:val="0041014E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500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78A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BA3"/>
    <w:rsid w:val="00462FF7"/>
    <w:rsid w:val="00465338"/>
    <w:rsid w:val="004658FC"/>
    <w:rsid w:val="00466342"/>
    <w:rsid w:val="00466807"/>
    <w:rsid w:val="00466C46"/>
    <w:rsid w:val="0047002C"/>
    <w:rsid w:val="004723BA"/>
    <w:rsid w:val="00472732"/>
    <w:rsid w:val="00473D17"/>
    <w:rsid w:val="004742DF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2DA5"/>
    <w:rsid w:val="00483737"/>
    <w:rsid w:val="00483FBD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26E9"/>
    <w:rsid w:val="004A342D"/>
    <w:rsid w:val="004A355B"/>
    <w:rsid w:val="004A40F5"/>
    <w:rsid w:val="004A4913"/>
    <w:rsid w:val="004A4E8A"/>
    <w:rsid w:val="004A54EA"/>
    <w:rsid w:val="004A64B0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215D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166"/>
    <w:rsid w:val="00517382"/>
    <w:rsid w:val="00520269"/>
    <w:rsid w:val="00520815"/>
    <w:rsid w:val="005225B9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21B4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174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09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3B75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5FB4"/>
    <w:rsid w:val="00637A74"/>
    <w:rsid w:val="00640141"/>
    <w:rsid w:val="006408ED"/>
    <w:rsid w:val="00641332"/>
    <w:rsid w:val="00641553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5BEB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EF2"/>
    <w:rsid w:val="006D1F4A"/>
    <w:rsid w:val="006D21E0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BE0"/>
    <w:rsid w:val="006E6F8B"/>
    <w:rsid w:val="006E7A1F"/>
    <w:rsid w:val="006F0C93"/>
    <w:rsid w:val="006F0CC1"/>
    <w:rsid w:val="006F26CB"/>
    <w:rsid w:val="006F350A"/>
    <w:rsid w:val="006F44F1"/>
    <w:rsid w:val="006F7B07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0F09"/>
    <w:rsid w:val="0071125A"/>
    <w:rsid w:val="007116C9"/>
    <w:rsid w:val="00712681"/>
    <w:rsid w:val="00712E36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3ABF"/>
    <w:rsid w:val="00754250"/>
    <w:rsid w:val="00755587"/>
    <w:rsid w:val="0075690D"/>
    <w:rsid w:val="00757949"/>
    <w:rsid w:val="00761991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8FA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45E1"/>
    <w:rsid w:val="007D462A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2C07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1B07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2DEB"/>
    <w:rsid w:val="00813B9A"/>
    <w:rsid w:val="00815C69"/>
    <w:rsid w:val="008167AA"/>
    <w:rsid w:val="008206D6"/>
    <w:rsid w:val="00821DCC"/>
    <w:rsid w:val="00822C21"/>
    <w:rsid w:val="0082334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39DC"/>
    <w:rsid w:val="00844206"/>
    <w:rsid w:val="0084486A"/>
    <w:rsid w:val="00844889"/>
    <w:rsid w:val="008461B4"/>
    <w:rsid w:val="008463A6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8CC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3DB5"/>
    <w:rsid w:val="008A53AF"/>
    <w:rsid w:val="008A54DA"/>
    <w:rsid w:val="008A5BB1"/>
    <w:rsid w:val="008A6DCC"/>
    <w:rsid w:val="008B00E7"/>
    <w:rsid w:val="008B09D2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856"/>
    <w:rsid w:val="008E3A76"/>
    <w:rsid w:val="008E3C84"/>
    <w:rsid w:val="008E3F2B"/>
    <w:rsid w:val="008E40C8"/>
    <w:rsid w:val="008E4E0F"/>
    <w:rsid w:val="008E5032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6674"/>
    <w:rsid w:val="0094776F"/>
    <w:rsid w:val="0095047C"/>
    <w:rsid w:val="00952696"/>
    <w:rsid w:val="00953107"/>
    <w:rsid w:val="00953F7A"/>
    <w:rsid w:val="00954006"/>
    <w:rsid w:val="00954A05"/>
    <w:rsid w:val="00954BF1"/>
    <w:rsid w:val="009576D6"/>
    <w:rsid w:val="00957820"/>
    <w:rsid w:val="00957AC0"/>
    <w:rsid w:val="00960074"/>
    <w:rsid w:val="0096018D"/>
    <w:rsid w:val="00960C8B"/>
    <w:rsid w:val="00961626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5C27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A7B02"/>
    <w:rsid w:val="009B047D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2DF9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3772C"/>
    <w:rsid w:val="00A413EA"/>
    <w:rsid w:val="00A414D6"/>
    <w:rsid w:val="00A41B12"/>
    <w:rsid w:val="00A4252D"/>
    <w:rsid w:val="00A4260E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0A75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044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B6494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0A88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651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2D8A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4ABB"/>
    <w:rsid w:val="00B65B12"/>
    <w:rsid w:val="00B66B34"/>
    <w:rsid w:val="00B67883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34D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04E3"/>
    <w:rsid w:val="00BF1EA3"/>
    <w:rsid w:val="00BF2C6D"/>
    <w:rsid w:val="00BF32D8"/>
    <w:rsid w:val="00BF3E73"/>
    <w:rsid w:val="00BF3EDD"/>
    <w:rsid w:val="00BF4213"/>
    <w:rsid w:val="00BF58CD"/>
    <w:rsid w:val="00BF687B"/>
    <w:rsid w:val="00BF6E50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3536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542D"/>
    <w:rsid w:val="00C278CB"/>
    <w:rsid w:val="00C30A36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7740E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87DAE"/>
    <w:rsid w:val="00C909DF"/>
    <w:rsid w:val="00C90A42"/>
    <w:rsid w:val="00C9173E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2BE8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3593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93C"/>
    <w:rsid w:val="00D53D7B"/>
    <w:rsid w:val="00D5565E"/>
    <w:rsid w:val="00D57188"/>
    <w:rsid w:val="00D60395"/>
    <w:rsid w:val="00D60EE7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49D7"/>
    <w:rsid w:val="00D95806"/>
    <w:rsid w:val="00D962DA"/>
    <w:rsid w:val="00DA38DC"/>
    <w:rsid w:val="00DA4919"/>
    <w:rsid w:val="00DA4A67"/>
    <w:rsid w:val="00DA52B1"/>
    <w:rsid w:val="00DA73F3"/>
    <w:rsid w:val="00DB1948"/>
    <w:rsid w:val="00DB1E7D"/>
    <w:rsid w:val="00DB2036"/>
    <w:rsid w:val="00DB2928"/>
    <w:rsid w:val="00DB2B77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122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6120"/>
    <w:rsid w:val="00E46576"/>
    <w:rsid w:val="00E46895"/>
    <w:rsid w:val="00E5221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2B59"/>
    <w:rsid w:val="00E749A7"/>
    <w:rsid w:val="00E754A8"/>
    <w:rsid w:val="00E76CBE"/>
    <w:rsid w:val="00E76FD8"/>
    <w:rsid w:val="00E770B5"/>
    <w:rsid w:val="00E77818"/>
    <w:rsid w:val="00E77CDD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5F0"/>
    <w:rsid w:val="00E878AD"/>
    <w:rsid w:val="00E92C71"/>
    <w:rsid w:val="00E93835"/>
    <w:rsid w:val="00E945AF"/>
    <w:rsid w:val="00E94FF6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451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2E6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47C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2CCB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2B4"/>
    <w:rsid w:val="00F65A1C"/>
    <w:rsid w:val="00F705D8"/>
    <w:rsid w:val="00F70D70"/>
    <w:rsid w:val="00F71FFA"/>
    <w:rsid w:val="00F72542"/>
    <w:rsid w:val="00F73B14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6ED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71F2"/>
    <w:rsid w:val="00FB7979"/>
    <w:rsid w:val="00FB7E09"/>
    <w:rsid w:val="00FB7FDB"/>
    <w:rsid w:val="00FC04C0"/>
    <w:rsid w:val="00FC0603"/>
    <w:rsid w:val="00FC1281"/>
    <w:rsid w:val="00FC3C6A"/>
    <w:rsid w:val="00FC4285"/>
    <w:rsid w:val="00FC4B20"/>
    <w:rsid w:val="00FC517C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ED54"/>
  <w15:docId w15:val="{10878E3C-BB92-4529-B6DB-1CFEC83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F4E8E896387E2BE6B0FE1F913T9F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E06A48B8045540922D9FC2DAF35716C847D9876485EFE93F50BAA44499994E4BEDFF86AC916041B6F751TF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hyperlink" Target="consultantplus://offline/ref=0EE06A48B8045540922D81CFCC9F0813CF488E826984E2BE6B0FE1F913T9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FA6A-C308-4039-8064-A727E572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10832</Words>
  <Characters>61746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72434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Admin</cp:lastModifiedBy>
  <cp:revision>2</cp:revision>
  <cp:lastPrinted>2020-01-16T07:05:00Z</cp:lastPrinted>
  <dcterms:created xsi:type="dcterms:W3CDTF">2022-11-15T10:26:00Z</dcterms:created>
  <dcterms:modified xsi:type="dcterms:W3CDTF">2022-11-15T10:26:00Z</dcterms:modified>
</cp:coreProperties>
</file>