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4B" w:rsidRDefault="000D3B4B" w:rsidP="000D3B4B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0D3B4B" w:rsidRDefault="002C047D" w:rsidP="000D3B4B">
      <w:pPr>
        <w:jc w:val="center"/>
        <w:rPr>
          <w:sz w:val="28"/>
          <w:szCs w:val="28"/>
        </w:rPr>
      </w:pPr>
      <w:r w:rsidRPr="000D3B4B"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3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:rsidR="000D3B4B" w:rsidRDefault="000D3B4B" w:rsidP="000D3B4B">
      <w:pPr>
        <w:jc w:val="center"/>
        <w:rPr>
          <w:sz w:val="28"/>
          <w:szCs w:val="28"/>
        </w:rPr>
      </w:pP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:rsidR="000D3B4B" w:rsidRDefault="000D3B4B" w:rsidP="000D3B4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D3B4B" w:rsidRDefault="000D3B4B" w:rsidP="000D3B4B">
      <w:pPr>
        <w:jc w:val="center"/>
        <w:rPr>
          <w:sz w:val="28"/>
          <w:szCs w:val="28"/>
        </w:rPr>
      </w:pPr>
    </w:p>
    <w:p w:rsidR="000D3B4B" w:rsidRDefault="000D3B4B" w:rsidP="000D3B4B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</w:p>
    <w:p w:rsidR="005A2C90" w:rsidRPr="005A2C90" w:rsidRDefault="000D3B4B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>30декабря</w:t>
      </w:r>
      <w:r w:rsidR="00E13319">
        <w:rPr>
          <w:rStyle w:val="af"/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Style w:val="af"/>
          <w:rFonts w:ascii="Times New Roman" w:hAnsi="Times New Roman"/>
          <w:b w:val="0"/>
          <w:sz w:val="28"/>
          <w:szCs w:val="28"/>
        </w:rPr>
        <w:t>0</w:t>
      </w:r>
      <w:r w:rsidR="005A2C90" w:rsidRPr="002C047D">
        <w:rPr>
          <w:rStyle w:val="af"/>
          <w:rFonts w:ascii="Times New Roman" w:hAnsi="Times New Roman"/>
          <w:b w:val="0"/>
          <w:sz w:val="28"/>
          <w:szCs w:val="28"/>
        </w:rPr>
        <w:t>г</w:t>
      </w:r>
      <w:r w:rsidR="00056069" w:rsidRPr="002C047D">
        <w:rPr>
          <w:rStyle w:val="af"/>
          <w:rFonts w:ascii="Times New Roman" w:hAnsi="Times New Roman"/>
          <w:b w:val="0"/>
          <w:sz w:val="28"/>
          <w:szCs w:val="28"/>
        </w:rPr>
        <w:t xml:space="preserve">ода                        № </w:t>
      </w:r>
      <w:r w:rsidR="002C047D" w:rsidRPr="002C047D">
        <w:rPr>
          <w:rStyle w:val="af"/>
          <w:rFonts w:ascii="Times New Roman" w:hAnsi="Times New Roman"/>
          <w:b w:val="0"/>
          <w:sz w:val="28"/>
          <w:szCs w:val="28"/>
        </w:rPr>
        <w:t>118</w:t>
      </w:r>
      <w:r>
        <w:rPr>
          <w:rStyle w:val="af"/>
          <w:rFonts w:ascii="Times New Roman" w:hAnsi="Times New Roman"/>
          <w:b w:val="0"/>
          <w:sz w:val="28"/>
          <w:szCs w:val="28"/>
        </w:rPr>
        <w:t>п.Матвеев Курган</w:t>
      </w:r>
    </w:p>
    <w:p w:rsidR="005A2C90" w:rsidRDefault="005A2C90" w:rsidP="007956A4">
      <w:pPr>
        <w:ind w:right="4396"/>
        <w:jc w:val="both"/>
        <w:rPr>
          <w:sz w:val="28"/>
          <w:szCs w:val="28"/>
        </w:rPr>
      </w:pPr>
    </w:p>
    <w:p w:rsidR="007956A4" w:rsidRPr="000D3B4B" w:rsidRDefault="007956A4" w:rsidP="007956A4">
      <w:pPr>
        <w:ind w:right="4396"/>
        <w:jc w:val="both"/>
      </w:pPr>
      <w:r w:rsidRPr="000D3B4B"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0D3B4B" w:rsidRPr="000D3B4B">
        <w:t>Матвеево-Куранского</w:t>
      </w:r>
      <w:r w:rsidRPr="000D3B4B">
        <w:t xml:space="preserve"> сельского поселения</w:t>
      </w:r>
    </w:p>
    <w:p w:rsidR="000D3B4B" w:rsidRDefault="007956A4" w:rsidP="000D3B4B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0D3B4B">
        <w:rPr>
          <w:rFonts w:ascii="Arial" w:hAnsi="Arial" w:cs="Arial"/>
          <w:color w:val="000000"/>
        </w:rPr>
        <w:t> </w:t>
      </w:r>
      <w:r w:rsidRPr="000D3B4B">
        <w:rPr>
          <w:color w:val="000000"/>
        </w:rPr>
        <w:t xml:space="preserve">      </w:t>
      </w:r>
    </w:p>
    <w:p w:rsidR="005A2C90" w:rsidRPr="000D3B4B" w:rsidRDefault="007956A4" w:rsidP="000D3B4B">
      <w:pPr>
        <w:pStyle w:val="a3"/>
        <w:spacing w:before="0" w:beforeAutospacing="0" w:after="0" w:afterAutospacing="0" w:line="270" w:lineRule="atLeast"/>
        <w:jc w:val="both"/>
      </w:pPr>
      <w:r w:rsidRPr="000D3B4B">
        <w:rPr>
          <w:color w:val="000000"/>
        </w:rPr>
        <w:t>В соответствии с Федеральным законом  № 131-ФЗ от 06.10.2003г. «Об общих принципах организации местного самоуправ</w:t>
      </w:r>
      <w:r w:rsidR="005A2C90" w:rsidRPr="000D3B4B">
        <w:rPr>
          <w:color w:val="000000"/>
        </w:rPr>
        <w:t>ления в Российской Федерации», решением собрания</w:t>
      </w:r>
      <w:r w:rsidRPr="000D3B4B">
        <w:rPr>
          <w:color w:val="000000"/>
        </w:rPr>
        <w:t xml:space="preserve"> депутатов </w:t>
      </w:r>
      <w:r w:rsidR="000D3B4B" w:rsidRPr="000D3B4B">
        <w:t>Матвеево-Куранского</w:t>
      </w:r>
      <w:r w:rsidR="00C67490">
        <w:rPr>
          <w:color w:val="000000"/>
        </w:rPr>
        <w:t>сельского поселения № 64</w:t>
      </w:r>
      <w:r w:rsidR="005A2C90" w:rsidRPr="000D3B4B">
        <w:rPr>
          <w:color w:val="000000"/>
        </w:rPr>
        <w:t xml:space="preserve"> от </w:t>
      </w:r>
      <w:r w:rsidR="00C67490">
        <w:rPr>
          <w:color w:val="000000"/>
        </w:rPr>
        <w:t>31.10</w:t>
      </w:r>
      <w:r w:rsidR="005A2C90" w:rsidRPr="000D3B4B">
        <w:rPr>
          <w:color w:val="000000"/>
        </w:rPr>
        <w:t>.2017</w:t>
      </w:r>
      <w:r w:rsidRPr="000D3B4B">
        <w:rPr>
          <w:color w:val="000000"/>
        </w:rPr>
        <w:t>г. «</w:t>
      </w:r>
      <w:r w:rsidR="00C305C2" w:rsidRPr="000D3B4B">
        <w:t>Об утверждении Правил благо</w:t>
      </w:r>
      <w:r w:rsidR="005A2C90" w:rsidRPr="000D3B4B">
        <w:t>устройства</w:t>
      </w:r>
      <w:r w:rsidR="00C305C2" w:rsidRPr="000D3B4B">
        <w:rPr>
          <w:bCs/>
        </w:rPr>
        <w:t xml:space="preserve"> территории </w:t>
      </w:r>
      <w:r w:rsidR="000D3B4B" w:rsidRPr="000D3B4B">
        <w:t>Матвеево-Куранского</w:t>
      </w:r>
      <w:r w:rsidR="005A2C90" w:rsidRPr="000D3B4B">
        <w:rPr>
          <w:bCs/>
        </w:rPr>
        <w:t xml:space="preserve">сельского </w:t>
      </w:r>
      <w:r w:rsidR="00C305C2" w:rsidRPr="000D3B4B">
        <w:rPr>
          <w:bCs/>
        </w:rPr>
        <w:t>поселения»</w:t>
      </w:r>
      <w:r w:rsidRPr="000D3B4B">
        <w:rPr>
          <w:color w:val="000000"/>
        </w:rPr>
        <w:t>, ГОСТ Р 52301-2013 «Оборудование и покрытия детских игровых площадок. Безопасность при эксплуатации. Общие требования»,</w:t>
      </w:r>
      <w:r w:rsidR="00F64144" w:rsidRPr="000D3B4B">
        <w:t>руководствуясь</w:t>
      </w:r>
      <w:r w:rsidRPr="000D3B4B">
        <w:t xml:space="preserve">Уставом </w:t>
      </w:r>
      <w:r w:rsidR="00C67490">
        <w:t>муниципального образования «Матвеево-Куранское»</w:t>
      </w:r>
      <w:r w:rsidR="00D43591" w:rsidRPr="000D3B4B">
        <w:t>сельское поселение</w:t>
      </w:r>
      <w:r w:rsidR="005A2C90" w:rsidRPr="000D3B4B">
        <w:t xml:space="preserve">, </w:t>
      </w:r>
    </w:p>
    <w:p w:rsidR="000D3B4B" w:rsidRDefault="000D3B4B" w:rsidP="000D3B4B">
      <w:pPr>
        <w:ind w:right="-5" w:firstLine="708"/>
        <w:jc w:val="center"/>
      </w:pPr>
    </w:p>
    <w:p w:rsidR="007956A4" w:rsidRPr="000D3B4B" w:rsidRDefault="005A2C90" w:rsidP="000D3B4B">
      <w:pPr>
        <w:ind w:right="-5" w:firstLine="708"/>
        <w:jc w:val="center"/>
      </w:pPr>
      <w:r w:rsidRPr="000D3B4B">
        <w:t>ПОСТАНОВЛЯЮ</w:t>
      </w:r>
      <w:r w:rsidR="007956A4" w:rsidRPr="000D3B4B">
        <w:t>:</w:t>
      </w:r>
    </w:p>
    <w:p w:rsidR="007956A4" w:rsidRPr="000D3B4B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D3B4B">
        <w:rPr>
          <w:rFonts w:ascii="Arial" w:hAnsi="Arial" w:cs="Arial"/>
          <w:color w:val="000000"/>
        </w:rPr>
        <w:t> </w:t>
      </w:r>
    </w:p>
    <w:p w:rsidR="007956A4" w:rsidRPr="000D3B4B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 w:rsidRPr="000D3B4B">
        <w:t xml:space="preserve">1. Утвердить  «Правила содержания и эксплуатации детских площадок и игрового оборудования», расположенных на  территории </w:t>
      </w:r>
      <w:r w:rsidR="000D3B4B" w:rsidRPr="000D3B4B">
        <w:t xml:space="preserve">Матвеево-Куранского </w:t>
      </w:r>
      <w:r w:rsidRPr="000D3B4B">
        <w:t>сельского поселения (приложение 1).</w:t>
      </w:r>
    </w:p>
    <w:p w:rsidR="000D3B4B" w:rsidRPr="000D3B4B" w:rsidRDefault="007956A4" w:rsidP="000D3B4B">
      <w:pPr>
        <w:pStyle w:val="Default"/>
        <w:jc w:val="both"/>
        <w:rPr>
          <w:spacing w:val="-12"/>
          <w:w w:val="108"/>
        </w:rPr>
      </w:pPr>
      <w:r w:rsidRPr="000D3B4B">
        <w:tab/>
      </w:r>
      <w:r w:rsidR="000D3B4B" w:rsidRPr="000D3B4B">
        <w:t xml:space="preserve">2. </w:t>
      </w:r>
      <w:r w:rsidR="000D3B4B" w:rsidRPr="000D3B4B">
        <w:rPr>
          <w:spacing w:val="-12"/>
          <w:w w:val="108"/>
        </w:rPr>
        <w:t>Постановление вступает в силу после его опубликования  в информационном бюллетени Матвеево-Курганского сельского поселения и подлежит размещению на официальном сайте Администрации Матвеево-Курганского сельского поселения в информационно-телекоммуникационной сети Интернет.</w:t>
      </w:r>
    </w:p>
    <w:p w:rsidR="000D3B4B" w:rsidRDefault="000D3B4B" w:rsidP="000D3B4B">
      <w:pPr>
        <w:shd w:val="clear" w:color="auto" w:fill="FFFFFF"/>
        <w:ind w:firstLine="851"/>
        <w:jc w:val="both"/>
        <w:rPr>
          <w:color w:val="000000"/>
          <w:spacing w:val="-12"/>
          <w:w w:val="108"/>
        </w:rPr>
      </w:pPr>
    </w:p>
    <w:p w:rsidR="000D3B4B" w:rsidRPr="000D3B4B" w:rsidRDefault="000D3B4B" w:rsidP="000D3B4B">
      <w:pPr>
        <w:shd w:val="clear" w:color="auto" w:fill="FFFFFF"/>
        <w:ind w:firstLine="851"/>
        <w:jc w:val="both"/>
        <w:rPr>
          <w:color w:val="000000"/>
          <w:spacing w:val="-12"/>
          <w:w w:val="108"/>
        </w:rPr>
      </w:pPr>
      <w:r w:rsidRPr="000D3B4B">
        <w:rPr>
          <w:color w:val="000000"/>
          <w:spacing w:val="-12"/>
          <w:w w:val="108"/>
        </w:rPr>
        <w:t>3. Контроль за выполнением постановления оставляю за собой.</w:t>
      </w:r>
    </w:p>
    <w:p w:rsidR="000D3B4B" w:rsidRPr="000D3B4B" w:rsidRDefault="000D3B4B" w:rsidP="000D3B4B">
      <w:pPr>
        <w:tabs>
          <w:tab w:val="left" w:pos="709"/>
        </w:tabs>
        <w:jc w:val="both"/>
      </w:pPr>
    </w:p>
    <w:p w:rsidR="000D3B4B" w:rsidRDefault="000D3B4B" w:rsidP="000D3B4B">
      <w:pPr>
        <w:tabs>
          <w:tab w:val="left" w:pos="709"/>
        </w:tabs>
        <w:jc w:val="both"/>
      </w:pPr>
    </w:p>
    <w:p w:rsidR="000D3B4B" w:rsidRPr="000D3B4B" w:rsidRDefault="000D3B4B" w:rsidP="000D3B4B">
      <w:pPr>
        <w:tabs>
          <w:tab w:val="left" w:pos="709"/>
        </w:tabs>
        <w:jc w:val="both"/>
      </w:pPr>
      <w:r w:rsidRPr="000D3B4B">
        <w:t>Глава Администрации</w:t>
      </w:r>
    </w:p>
    <w:p w:rsidR="00E97AD8" w:rsidRPr="000D3B4B" w:rsidRDefault="000D3B4B" w:rsidP="000D3B4B">
      <w:pPr>
        <w:tabs>
          <w:tab w:val="left" w:pos="709"/>
        </w:tabs>
        <w:jc w:val="both"/>
      </w:pPr>
      <w:r w:rsidRPr="000D3B4B">
        <w:t>Матвеево-Куранского</w:t>
      </w:r>
    </w:p>
    <w:p w:rsidR="00E97AD8" w:rsidRPr="000D3B4B" w:rsidRDefault="00E97AD8" w:rsidP="000D3B4B">
      <w:pPr>
        <w:tabs>
          <w:tab w:val="left" w:pos="1000"/>
        </w:tabs>
        <w:jc w:val="both"/>
      </w:pPr>
      <w:r w:rsidRPr="000D3B4B">
        <w:t xml:space="preserve">сельского  поселения                                      </w:t>
      </w:r>
      <w:r w:rsidR="000D3B4B" w:rsidRPr="000D3B4B">
        <w:t xml:space="preserve">              Щеткова Г.В</w:t>
      </w:r>
    </w:p>
    <w:p w:rsidR="007956A4" w:rsidRPr="000D3B4B" w:rsidRDefault="007956A4" w:rsidP="000D3B4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7956A4" w:rsidRPr="000D3B4B" w:rsidRDefault="007956A4" w:rsidP="000D3B4B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7956A4" w:rsidRPr="000D3B4B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E97AD8" w:rsidRDefault="00E97AD8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7956A4" w:rsidRDefault="00F64144" w:rsidP="00F64144">
      <w:pPr>
        <w:pStyle w:val="a3"/>
        <w:tabs>
          <w:tab w:val="left" w:pos="8667"/>
        </w:tabs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</w:p>
    <w:p w:rsidR="000D3B4B" w:rsidRDefault="000D3B4B" w:rsidP="00E97AD8">
      <w:pPr>
        <w:tabs>
          <w:tab w:val="left" w:pos="6660"/>
        </w:tabs>
        <w:jc w:val="right"/>
        <w:rPr>
          <w:sz w:val="20"/>
          <w:szCs w:val="20"/>
        </w:rPr>
      </w:pPr>
    </w:p>
    <w:p w:rsidR="000D3B4B" w:rsidRDefault="000D3B4B" w:rsidP="00E97AD8">
      <w:pPr>
        <w:tabs>
          <w:tab w:val="left" w:pos="6660"/>
        </w:tabs>
        <w:jc w:val="right"/>
        <w:rPr>
          <w:sz w:val="20"/>
          <w:szCs w:val="20"/>
        </w:rPr>
      </w:pPr>
    </w:p>
    <w:p w:rsidR="00E97AD8" w:rsidRPr="00E97AD8" w:rsidRDefault="00E97AD8" w:rsidP="00E97AD8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>Приложение № 1</w:t>
      </w:r>
    </w:p>
    <w:p w:rsidR="00E97AD8" w:rsidRPr="00E97AD8" w:rsidRDefault="00E97AD8" w:rsidP="00E97AD8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E97AD8" w:rsidRPr="00E97AD8" w:rsidRDefault="00C67490" w:rsidP="00E97A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Матвеево-Курганского </w:t>
      </w:r>
      <w:r w:rsidR="00E97AD8" w:rsidRPr="00E97AD8">
        <w:rPr>
          <w:sz w:val="20"/>
          <w:szCs w:val="20"/>
        </w:rPr>
        <w:t xml:space="preserve"> сельского поселения</w:t>
      </w:r>
    </w:p>
    <w:p w:rsidR="00E97AD8" w:rsidRPr="00E97AD8" w:rsidRDefault="00E97AD8" w:rsidP="00E97AD8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</w:r>
      <w:r w:rsidR="00AA76FB">
        <w:rPr>
          <w:sz w:val="20"/>
          <w:szCs w:val="20"/>
        </w:rPr>
        <w:t>о</w:t>
      </w:r>
      <w:r w:rsidRPr="00E97AD8">
        <w:rPr>
          <w:sz w:val="20"/>
          <w:szCs w:val="20"/>
        </w:rPr>
        <w:t>т</w:t>
      </w:r>
      <w:r w:rsidR="00C67490">
        <w:rPr>
          <w:sz w:val="20"/>
          <w:szCs w:val="20"/>
        </w:rPr>
        <w:t xml:space="preserve"> 30.12</w:t>
      </w:r>
      <w:r w:rsidR="00E13319">
        <w:rPr>
          <w:sz w:val="20"/>
          <w:szCs w:val="20"/>
        </w:rPr>
        <w:t>.202</w:t>
      </w:r>
      <w:r w:rsidR="00C67490">
        <w:rPr>
          <w:sz w:val="20"/>
          <w:szCs w:val="20"/>
        </w:rPr>
        <w:t>0</w:t>
      </w:r>
      <w:r w:rsidR="00056069">
        <w:rPr>
          <w:sz w:val="20"/>
          <w:szCs w:val="20"/>
        </w:rPr>
        <w:t xml:space="preserve"> №</w:t>
      </w:r>
      <w:r w:rsidR="00C67490">
        <w:rPr>
          <w:sz w:val="20"/>
          <w:szCs w:val="20"/>
        </w:rPr>
        <w:t>118</w:t>
      </w:r>
    </w:p>
    <w:p w:rsidR="00E97AD8" w:rsidRPr="00E97AD8" w:rsidRDefault="00E97AD8" w:rsidP="00E97AD8">
      <w:pPr>
        <w:pStyle w:val="ConsPlusTitle"/>
        <w:widowControl/>
        <w:rPr>
          <w:rFonts w:ascii="Times New Roman" w:hAnsi="Times New Roman" w:cs="Times New Roman"/>
        </w:rPr>
      </w:pPr>
    </w:p>
    <w:p w:rsidR="007956A4" w:rsidRDefault="007956A4" w:rsidP="007956A4">
      <w:pPr>
        <w:ind w:left="5760"/>
        <w:jc w:val="center"/>
        <w:rPr>
          <w:sz w:val="22"/>
          <w:szCs w:val="22"/>
        </w:rPr>
      </w:pPr>
    </w:p>
    <w:p w:rsidR="007956A4" w:rsidRPr="00C338E5" w:rsidRDefault="00C338E5" w:rsidP="007956A4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  <w:bookmarkStart w:id="0" w:name="_GoBack"/>
      <w:r w:rsidRPr="00C338E5">
        <w:rPr>
          <w:color w:val="000000"/>
        </w:rPr>
        <w:t>ПРАВИЛА</w:t>
      </w:r>
    </w:p>
    <w:p w:rsidR="00C338E5" w:rsidRPr="00C338E5" w:rsidRDefault="00C338E5" w:rsidP="007956A4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  <w:r w:rsidRPr="00C338E5">
        <w:rPr>
          <w:color w:val="000000"/>
        </w:rPr>
        <w:t>содержания и эксплуатации детского игрового оборудования, расположенного на территории Матвеево-Курганского сельского поселения</w:t>
      </w:r>
    </w:p>
    <w:bookmarkEnd w:id="0"/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1.ВВЕДЕНИЕ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</w:p>
    <w:p w:rsidR="007956A4" w:rsidRDefault="007956A4" w:rsidP="007956A4">
      <w:pPr>
        <w:shd w:val="clear" w:color="auto" w:fill="FFFFFF"/>
        <w:spacing w:before="75" w:after="75" w:line="252" w:lineRule="atLeast"/>
        <w:ind w:firstLine="708"/>
        <w:jc w:val="both"/>
      </w:pPr>
      <w: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</w:t>
      </w:r>
      <w:r w:rsidR="00E97AD8">
        <w:t>зрастным интересам.</w:t>
      </w:r>
      <w:r>
        <w:t xml:space="preserve"> Удельные размеры площадок определяются из расчета 0,5- 0,7 кв.м/чел. на 1 жителя.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2.ТРЕБОВАНИЕ К РАЗМЕЩЕНИЮ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Размещение детской игровой площадки должно производиться, с учетом следующих позиций: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особенности ландшафта (уклоны на местности, деревья, дорожки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расположение подземных коммуникаций в районе планируемой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ограждение площадки от близко проходящего транспорта, пешеходных дорожек, выгула собак.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>
          <w:t>10,0 м</w:t>
        </w:r>
      </w:smartTag>
      <w:r>
        <w:t>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Важное значение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Поверхность игровой площадки должна быть свободна от каких-либо острых, заточенных частей или опасных выступов.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Материалы с плохим смягчающим свойством приземления должны использоваться только вне области приземления.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До оформления акта приемки игровая площадка и оборудование на ней должны быть закрыты для использования.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lastRenderedPageBreak/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ТРЕБОВАНИЕ К ОБОРУДОВАНИЮ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2. Оборудование и элементы оборудования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общим требованиям безопасности и мерам защиты;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возрастной группе детей, для которой они предназначены;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обеспечивать доступ взрослых для помощи детям внутри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не допускать скопление воды на поверхности и обеспечивать свободный сток и просыхание.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Конструкция оборудования должна обеспечивать прочность, устойчивость и жесткость;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Элементы оборудования из металла должны быть защищены от коррозии;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6. Элементы оборудования из древесины не должны иметь на поверхности дефектов обработки (заусенцев, отщепов, сколов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7. Наличие выступающих элементов оборудования с острыми концами или кромками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Наличие шероховатых поверхностей, способных нанести травму ребенку,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9. Выступающие концы болтовых соединений должны быть защищены способом, исключающим травмирование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10. Сварные швы должны быть гладкими;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11. Углы и края  оборудования должны быть закруглены;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12. Крепление элементов оборудования должно исключать возможность их демонтажа без применения инструментов;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>
          <w:t>2000 мм</w:t>
        </w:r>
      </w:smartTag>
      <w: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Размеры открытых доступов должны быть не менее 500*500мм;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14.Размеры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 xml:space="preserve"> в любом направлении;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15.Ширина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>
          <w:t>60 мм</w:t>
        </w:r>
      </w:smartTag>
      <w:r>
        <w:t>.;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16. Подвижные и неподвижные элементы оборудования не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-образовывать сдавливающих или режущих поверхностей;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-создавать возможность застреваний тела, частей тела или одежды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17. Для защиты от падения оборудуют перила и ограждения;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18. При размещении оборудования необходимо соблюдать следующие минимальные расстояния безопасности: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01"/>
        <w:gridCol w:w="6970"/>
      </w:tblGrid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r>
              <w:t>игровое 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r>
              <w:t>минимальные расстояние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>
                <w:t>1.5 м</w:t>
              </w:r>
            </w:smartTag>
            <w:r>
              <w:t xml:space="preserve"> в стороны от боковых конструкций и не менее 2.0м. вперед(назад)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 конструкций и не менее1.5 м. вперед 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r>
              <w:t xml:space="preserve"> в стороны от боковых конструкций и не </w:t>
            </w:r>
            <w:r>
              <w:lastRenderedPageBreak/>
              <w:t>менее3.0 м. вверх от нижней вращающейся поверхности карусели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r>
              <w:t>.вперед от нижнего края ската горки</w:t>
            </w:r>
          </w:p>
        </w:tc>
      </w:tr>
    </w:tbl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4.ПОРЯДОК СОДЕРЖАНИЯ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Контроль за техническим состоянием оборудования площадок включает: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3.1.Осмотр и проверку оборудования перед вводом в эксплуатацию;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 например: разбитые бутылки, консервные банки, пластиковые пакеты, поврежденные элементы оборудования).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Периодичность регулярного визуального осмотра устанавливает собственник на основе учета условий эксплуатаций;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Осмотр проводят с периодичностью один раз в 1-3 месяца в соответствии с инструкцией изготовителя.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 ходе ежегодного основного осмотра определяются: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гниения деревянных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коррозии металлических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-влияние выполненных ремонтных работ на безопасность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Особое внимание уделяют скрытым, труднодоступным элементам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При составлении графика  учитывается: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-инструкция изготовителя;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lastRenderedPageBreak/>
        <w:t>7. Обслуживание включает мероприятия по поддержанию безопасности и качества функционирования и покрытий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Мероприятия включают в себя: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-проверку и подтягивание узлов крепления;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-обновление окраски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-обслуживание ударопоглащающих покрытий;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смазку подшипников;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-обеспечение чистоты оборудования и покрытий (удаление битого стекла, обломков, загрязнителей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-восстановление ударопоглащающих покрытий из сыпучих материалов и корректировку их уровня;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Ремонтные работы включают: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крепежных деталей;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-сварку;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частей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замену структурных элементов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6. ОБЩИЕ РЕКОМЕНДАЦИИ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C547D5" w:rsidRDefault="00C547D5"/>
    <w:sectPr w:rsidR="00C547D5" w:rsidSect="007956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49" w:rsidRDefault="006B7E49" w:rsidP="00A97650">
      <w:r>
        <w:separator/>
      </w:r>
    </w:p>
  </w:endnote>
  <w:endnote w:type="continuationSeparator" w:id="1">
    <w:p w:rsidR="006B7E49" w:rsidRDefault="006B7E49" w:rsidP="00A9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49" w:rsidRDefault="006B7E49" w:rsidP="00A97650">
      <w:r>
        <w:separator/>
      </w:r>
    </w:p>
  </w:footnote>
  <w:footnote w:type="continuationSeparator" w:id="1">
    <w:p w:rsidR="006B7E49" w:rsidRDefault="006B7E49" w:rsidP="00A9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339"/>
    <w:multiLevelType w:val="hybridMultilevel"/>
    <w:tmpl w:val="F6FE2366"/>
    <w:lvl w:ilvl="0" w:tplc="84DA22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6A4"/>
    <w:rsid w:val="0000778F"/>
    <w:rsid w:val="00010C55"/>
    <w:rsid w:val="000200A9"/>
    <w:rsid w:val="0004042A"/>
    <w:rsid w:val="00043655"/>
    <w:rsid w:val="00056069"/>
    <w:rsid w:val="000561C7"/>
    <w:rsid w:val="000763BE"/>
    <w:rsid w:val="00080E34"/>
    <w:rsid w:val="00092FA7"/>
    <w:rsid w:val="000973D6"/>
    <w:rsid w:val="000A2344"/>
    <w:rsid w:val="000A405D"/>
    <w:rsid w:val="000C1BED"/>
    <w:rsid w:val="000D3B4B"/>
    <w:rsid w:val="000E346B"/>
    <w:rsid w:val="000E5872"/>
    <w:rsid w:val="000E6D37"/>
    <w:rsid w:val="001529C8"/>
    <w:rsid w:val="00157CA6"/>
    <w:rsid w:val="0016515E"/>
    <w:rsid w:val="001914C1"/>
    <w:rsid w:val="001A1443"/>
    <w:rsid w:val="001A605B"/>
    <w:rsid w:val="001A7B70"/>
    <w:rsid w:val="001B5100"/>
    <w:rsid w:val="001B5DEE"/>
    <w:rsid w:val="001C524E"/>
    <w:rsid w:val="001C7784"/>
    <w:rsid w:val="001D06D9"/>
    <w:rsid w:val="001D4C54"/>
    <w:rsid w:val="001D71B0"/>
    <w:rsid w:val="00212884"/>
    <w:rsid w:val="00215053"/>
    <w:rsid w:val="00224B68"/>
    <w:rsid w:val="00237BB6"/>
    <w:rsid w:val="002441E8"/>
    <w:rsid w:val="002673C5"/>
    <w:rsid w:val="00282D78"/>
    <w:rsid w:val="00292BFC"/>
    <w:rsid w:val="002C047D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75161"/>
    <w:rsid w:val="004965FE"/>
    <w:rsid w:val="004A104D"/>
    <w:rsid w:val="004C35ED"/>
    <w:rsid w:val="004E649A"/>
    <w:rsid w:val="00501A2C"/>
    <w:rsid w:val="00513417"/>
    <w:rsid w:val="00522C8E"/>
    <w:rsid w:val="00537BAE"/>
    <w:rsid w:val="00555F73"/>
    <w:rsid w:val="00565726"/>
    <w:rsid w:val="005817E5"/>
    <w:rsid w:val="005A2C90"/>
    <w:rsid w:val="005A3991"/>
    <w:rsid w:val="005A4180"/>
    <w:rsid w:val="005D1F30"/>
    <w:rsid w:val="005D308B"/>
    <w:rsid w:val="005F0DEF"/>
    <w:rsid w:val="005F1B55"/>
    <w:rsid w:val="00662D83"/>
    <w:rsid w:val="0067409E"/>
    <w:rsid w:val="006777DD"/>
    <w:rsid w:val="006B7E49"/>
    <w:rsid w:val="006C59AF"/>
    <w:rsid w:val="006C5A28"/>
    <w:rsid w:val="006C6B01"/>
    <w:rsid w:val="006D2632"/>
    <w:rsid w:val="006D3B22"/>
    <w:rsid w:val="006E1F90"/>
    <w:rsid w:val="006F56C1"/>
    <w:rsid w:val="00705611"/>
    <w:rsid w:val="00706500"/>
    <w:rsid w:val="00717C60"/>
    <w:rsid w:val="0072789A"/>
    <w:rsid w:val="00777908"/>
    <w:rsid w:val="00785B75"/>
    <w:rsid w:val="007956A4"/>
    <w:rsid w:val="007E551C"/>
    <w:rsid w:val="007F6A98"/>
    <w:rsid w:val="00804151"/>
    <w:rsid w:val="008155E6"/>
    <w:rsid w:val="008168F5"/>
    <w:rsid w:val="00823F2A"/>
    <w:rsid w:val="0082744B"/>
    <w:rsid w:val="00834049"/>
    <w:rsid w:val="0084231C"/>
    <w:rsid w:val="00854E95"/>
    <w:rsid w:val="0086039D"/>
    <w:rsid w:val="008809FF"/>
    <w:rsid w:val="00881F29"/>
    <w:rsid w:val="00882EDA"/>
    <w:rsid w:val="00884649"/>
    <w:rsid w:val="00887314"/>
    <w:rsid w:val="00892D2E"/>
    <w:rsid w:val="008A639C"/>
    <w:rsid w:val="00911B7D"/>
    <w:rsid w:val="0094007A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650"/>
    <w:rsid w:val="00A97859"/>
    <w:rsid w:val="00AA76FB"/>
    <w:rsid w:val="00AB5B30"/>
    <w:rsid w:val="00AC2127"/>
    <w:rsid w:val="00AC366E"/>
    <w:rsid w:val="00AD1DEE"/>
    <w:rsid w:val="00AF1BB9"/>
    <w:rsid w:val="00AF3B0C"/>
    <w:rsid w:val="00B1485A"/>
    <w:rsid w:val="00B148EC"/>
    <w:rsid w:val="00B1524B"/>
    <w:rsid w:val="00B2468C"/>
    <w:rsid w:val="00B75302"/>
    <w:rsid w:val="00B77242"/>
    <w:rsid w:val="00BA04CF"/>
    <w:rsid w:val="00BA2EA8"/>
    <w:rsid w:val="00BA3BF3"/>
    <w:rsid w:val="00BB6468"/>
    <w:rsid w:val="00BF2895"/>
    <w:rsid w:val="00C305C2"/>
    <w:rsid w:val="00C30D55"/>
    <w:rsid w:val="00C338E5"/>
    <w:rsid w:val="00C547D5"/>
    <w:rsid w:val="00C67490"/>
    <w:rsid w:val="00C8369D"/>
    <w:rsid w:val="00C845B8"/>
    <w:rsid w:val="00CB7544"/>
    <w:rsid w:val="00CC073C"/>
    <w:rsid w:val="00CC2A0D"/>
    <w:rsid w:val="00CF2EA3"/>
    <w:rsid w:val="00D059C9"/>
    <w:rsid w:val="00D2108B"/>
    <w:rsid w:val="00D312B9"/>
    <w:rsid w:val="00D40331"/>
    <w:rsid w:val="00D4359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319"/>
    <w:rsid w:val="00E135D5"/>
    <w:rsid w:val="00E23092"/>
    <w:rsid w:val="00E361D1"/>
    <w:rsid w:val="00E7041E"/>
    <w:rsid w:val="00E97AD8"/>
    <w:rsid w:val="00EA3BD3"/>
    <w:rsid w:val="00EB2214"/>
    <w:rsid w:val="00EF1D16"/>
    <w:rsid w:val="00F36E17"/>
    <w:rsid w:val="00F424C5"/>
    <w:rsid w:val="00F52A33"/>
    <w:rsid w:val="00F64144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6A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56A4"/>
    <w:rPr>
      <w:b/>
      <w:i/>
      <w:sz w:val="24"/>
      <w:lang w:val="ru-RU" w:eastAsia="ru-RU" w:bidi="ar-SA"/>
    </w:rPr>
  </w:style>
  <w:style w:type="paragraph" w:styleId="a3">
    <w:name w:val="Normal (Web)"/>
    <w:basedOn w:val="a"/>
    <w:rsid w:val="007956A4"/>
    <w:pPr>
      <w:spacing w:before="100" w:beforeAutospacing="1" w:after="100" w:afterAutospacing="1"/>
    </w:pPr>
  </w:style>
  <w:style w:type="paragraph" w:customStyle="1" w:styleId="ConsNormal">
    <w:name w:val="ConsNormal"/>
    <w:rsid w:val="00795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97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97650"/>
    <w:rPr>
      <w:sz w:val="24"/>
      <w:szCs w:val="24"/>
    </w:rPr>
  </w:style>
  <w:style w:type="paragraph" w:styleId="a6">
    <w:name w:val="footer"/>
    <w:basedOn w:val="a"/>
    <w:link w:val="a7"/>
    <w:rsid w:val="00A97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7650"/>
    <w:rPr>
      <w:sz w:val="24"/>
      <w:szCs w:val="24"/>
    </w:rPr>
  </w:style>
  <w:style w:type="paragraph" w:customStyle="1" w:styleId="11">
    <w:name w:val="Знак1"/>
    <w:basedOn w:val="a"/>
    <w:rsid w:val="00C30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305C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305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5A2C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A2C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5A2C90"/>
    <w:rPr>
      <w:i/>
      <w:iCs/>
    </w:rPr>
  </w:style>
  <w:style w:type="paragraph" w:styleId="ad">
    <w:name w:val="Subtitle"/>
    <w:basedOn w:val="a"/>
    <w:next w:val="a"/>
    <w:link w:val="ae"/>
    <w:qFormat/>
    <w:rsid w:val="005A2C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5A2C90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basedOn w:val="a0"/>
    <w:qFormat/>
    <w:rsid w:val="005A2C90"/>
    <w:rPr>
      <w:b/>
      <w:bCs/>
    </w:rPr>
  </w:style>
  <w:style w:type="paragraph" w:customStyle="1" w:styleId="ConsPlusTitle">
    <w:name w:val="ConsPlusTitle"/>
    <w:rsid w:val="00E97A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Default">
    <w:name w:val="Default"/>
    <w:rsid w:val="000D3B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Борцова</cp:lastModifiedBy>
  <cp:revision>2</cp:revision>
  <cp:lastPrinted>2024-07-19T06:40:00Z</cp:lastPrinted>
  <dcterms:created xsi:type="dcterms:W3CDTF">2024-07-19T06:48:00Z</dcterms:created>
  <dcterms:modified xsi:type="dcterms:W3CDTF">2024-07-19T06:48:00Z</dcterms:modified>
</cp:coreProperties>
</file>