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EA0FD9" w:rsidP="00306840">
      <w:pPr>
        <w:jc w:val="center"/>
        <w:rPr>
          <w:b/>
        </w:rPr>
      </w:pPr>
      <w:r>
        <w:t>1</w:t>
      </w:r>
      <w:r w:rsidR="0090740B">
        <w:t xml:space="preserve">1ноября </w:t>
      </w:r>
      <w:r w:rsidR="002568B0" w:rsidRPr="00C12040">
        <w:t>201</w:t>
      </w:r>
      <w:r w:rsidR="00E215A0">
        <w:t>6</w:t>
      </w:r>
      <w:r w:rsidR="002568B0" w:rsidRPr="00C12040">
        <w:t xml:space="preserve"> г              </w:t>
      </w:r>
      <w:r w:rsidR="00306840">
        <w:t xml:space="preserve">                   </w:t>
      </w:r>
      <w:r w:rsidR="00481A92" w:rsidRPr="00C12040">
        <w:t xml:space="preserve"> №</w:t>
      </w:r>
      <w:r w:rsidR="00306840">
        <w:t>583</w:t>
      </w:r>
      <w:r w:rsidR="0090740B">
        <w:t xml:space="preserve">                        </w:t>
      </w:r>
      <w:r w:rsidR="00306840">
        <w:t xml:space="preserve">             </w:t>
      </w:r>
      <w:r w:rsidR="0090740B">
        <w:t xml:space="preserve">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внесении изменений в постановление 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граммы Матвеево-Курганского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 xml:space="preserve">Об утверждении Порядка разработки, реализации и оценки эффективности муниципальных программ Матвеево-Курганского сельского </w:t>
      </w:r>
      <w:proofErr w:type="spellStart"/>
      <w:r w:rsidR="00314F98" w:rsidRPr="00C12040">
        <w:rPr>
          <w:bCs/>
        </w:rPr>
        <w:t>поселения</w:t>
      </w:r>
      <w:r w:rsidRPr="00C12040">
        <w:rPr>
          <w:color w:val="000000"/>
          <w:spacing w:val="-4"/>
          <w:w w:val="108"/>
        </w:rPr>
        <w:t>»</w:t>
      </w:r>
      <w:proofErr w:type="gramStart"/>
      <w:r w:rsidRPr="00C12040">
        <w:rPr>
          <w:color w:val="000000"/>
          <w:spacing w:val="-4"/>
          <w:w w:val="108"/>
        </w:rPr>
        <w:t>,р</w:t>
      </w:r>
      <w:proofErr w:type="gramEnd"/>
      <w:r w:rsidRPr="00C12040">
        <w:rPr>
          <w:color w:val="000000"/>
          <w:spacing w:val="-4"/>
          <w:w w:val="108"/>
        </w:rPr>
        <w:t>аспоряжениями</w:t>
      </w:r>
      <w:proofErr w:type="spellEnd"/>
      <w:r w:rsidRPr="00C12040">
        <w:rPr>
          <w:color w:val="000000"/>
          <w:spacing w:val="-4"/>
          <w:w w:val="108"/>
        </w:rPr>
        <w:t xml:space="preserve"> Админ</w:t>
      </w:r>
      <w:r w:rsidRPr="00C12040">
        <w:rPr>
          <w:color w:val="000000"/>
          <w:spacing w:val="-4"/>
          <w:w w:val="108"/>
        </w:rPr>
        <w:t>и</w:t>
      </w:r>
      <w:r w:rsidRPr="00C12040">
        <w:rPr>
          <w:color w:val="000000"/>
          <w:spacing w:val="-4"/>
          <w:w w:val="108"/>
        </w:rPr>
        <w:t xml:space="preserve">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</w:t>
      </w:r>
      <w:r w:rsidR="00314F98" w:rsidRPr="00C12040">
        <w:rPr>
          <w:bCs/>
        </w:rPr>
        <w:t>и</w:t>
      </w:r>
      <w:r w:rsidR="00314F98" w:rsidRPr="00C12040">
        <w:rPr>
          <w:bCs/>
        </w:rPr>
        <w:t>ческих  рекомендаций по разработке и реализации муниципальных программ Матвеево-Курганского сельского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>Матве</w:t>
      </w:r>
      <w:r w:rsidR="00314F98" w:rsidRPr="00C12040">
        <w:rPr>
          <w:color w:val="000000"/>
          <w:spacing w:val="-4"/>
          <w:w w:val="108"/>
        </w:rPr>
        <w:t>е</w:t>
      </w:r>
      <w:r w:rsidR="00314F98" w:rsidRPr="00C12040">
        <w:rPr>
          <w:color w:val="000000"/>
          <w:spacing w:val="-4"/>
          <w:w w:val="108"/>
        </w:rPr>
        <w:t xml:space="preserve">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611ED3" w:rsidRPr="00C12040" w:rsidRDefault="00611ED3" w:rsidP="00611ED3">
      <w:pPr>
        <w:widowControl/>
        <w:numPr>
          <w:ilvl w:val="0"/>
          <w:numId w:val="7"/>
        </w:numPr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 xml:space="preserve">Утвердить муниципальную программу 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 согласно прилож</w:t>
      </w:r>
      <w:r w:rsidRPr="00C12040">
        <w:rPr>
          <w:color w:val="000000"/>
          <w:spacing w:val="-12"/>
          <w:w w:val="108"/>
        </w:rPr>
        <w:t>е</w:t>
      </w:r>
      <w:r w:rsidRPr="00C12040">
        <w:rPr>
          <w:color w:val="000000"/>
          <w:spacing w:val="-12"/>
          <w:w w:val="108"/>
        </w:rPr>
        <w:t>нию.</w:t>
      </w:r>
    </w:p>
    <w:p w:rsidR="00877EB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41B91" w:rsidRPr="006D0A43" w:rsidRDefault="00611ED3" w:rsidP="00641B91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 xml:space="preserve">2. </w:t>
      </w: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 Ма</w:t>
      </w:r>
      <w:r w:rsidRPr="00C12040">
        <w:rPr>
          <w:spacing w:val="-12"/>
          <w:w w:val="108"/>
        </w:rPr>
        <w:t>т</w:t>
      </w:r>
      <w:r w:rsidRPr="00C12040">
        <w:rPr>
          <w:spacing w:val="-12"/>
          <w:w w:val="108"/>
        </w:rPr>
        <w:t xml:space="preserve">веево-Курганского сельского поселения и подлежит размещению на </w:t>
      </w:r>
      <w:r w:rsidR="00641B91" w:rsidRPr="006D0A43">
        <w:rPr>
          <w:color w:val="auto"/>
        </w:rPr>
        <w:t xml:space="preserve"> официальном сайте Администр</w:t>
      </w:r>
      <w:r w:rsidR="00641B91" w:rsidRPr="006D0A43">
        <w:rPr>
          <w:color w:val="auto"/>
        </w:rPr>
        <w:t>а</w:t>
      </w:r>
      <w:r w:rsidR="00641B91" w:rsidRPr="006D0A43">
        <w:rPr>
          <w:color w:val="auto"/>
        </w:rPr>
        <w:t>ции Матвеево-Курганского сельского поселения в информационно-телекоммуникационной сети И</w:t>
      </w:r>
      <w:r w:rsidR="00641B91" w:rsidRPr="006D0A43">
        <w:rPr>
          <w:color w:val="auto"/>
        </w:rPr>
        <w:t>н</w:t>
      </w:r>
      <w:r w:rsidR="00641B91" w:rsidRPr="006D0A43">
        <w:rPr>
          <w:color w:val="auto"/>
        </w:rPr>
        <w:t xml:space="preserve">тернет. </w:t>
      </w:r>
      <w:proofErr w:type="gramEnd"/>
    </w:p>
    <w:p w:rsidR="00611ED3" w:rsidRPr="00C12040" w:rsidRDefault="00611ED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90740B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90740B">
        <w:rPr>
          <w:w w:val="108"/>
        </w:rPr>
        <w:t xml:space="preserve"> Администрации 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proofErr w:type="gramStart"/>
      <w:r w:rsidRPr="00C12040">
        <w:rPr>
          <w:w w:val="108"/>
        </w:rPr>
        <w:t>Матвеево-Курганского</w:t>
      </w:r>
      <w:proofErr w:type="gramEnd"/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90740B">
        <w:rPr>
          <w:w w:val="108"/>
        </w:rPr>
        <w:t xml:space="preserve">                                                                            </w:t>
      </w:r>
      <w:proofErr w:type="spellStart"/>
      <w:r w:rsidR="0090740B">
        <w:rPr>
          <w:w w:val="108"/>
        </w:rPr>
        <w:t>Г.В.Щеткова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EA0FD9">
        <w:t>1</w:t>
      </w:r>
      <w:r w:rsidR="0090740B">
        <w:t>1</w:t>
      </w:r>
      <w:r w:rsidR="00DC7A31" w:rsidRPr="00C12040">
        <w:t>.</w:t>
      </w:r>
      <w:r w:rsidR="0090740B">
        <w:t>11</w:t>
      </w:r>
      <w:r w:rsidR="00DC7A31" w:rsidRPr="00C12040">
        <w:t>.</w:t>
      </w:r>
      <w:r w:rsidR="004D1218" w:rsidRPr="00C12040">
        <w:t>201</w:t>
      </w:r>
      <w:r w:rsidR="00E215A0">
        <w:t>6</w:t>
      </w:r>
      <w:r w:rsidRPr="00C12040">
        <w:t xml:space="preserve"> №</w:t>
      </w:r>
      <w:r w:rsidR="00306840">
        <w:t>583</w:t>
      </w:r>
      <w:bookmarkStart w:id="0" w:name="_GoBack"/>
      <w:bookmarkEnd w:id="0"/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p w:rsidR="00954006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040">
              <w:rPr>
                <w:rFonts w:eastAsia="Calibri"/>
                <w:lang w:eastAsia="en-US"/>
              </w:rPr>
              <w:t>муниципальная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«О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>беспечение</w:t>
            </w:r>
            <w:proofErr w:type="spellEnd"/>
            <w:r w:rsidR="00954006" w:rsidRPr="00C12040">
              <w:rPr>
                <w:color w:val="000000"/>
                <w:spacing w:val="-12"/>
                <w:w w:val="108"/>
              </w:rPr>
              <w:t xml:space="preserve">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</w:t>
            </w:r>
            <w:proofErr w:type="spellStart"/>
            <w:r w:rsidR="00314F98" w:rsidRPr="00C12040">
              <w:t>Курганского</w:t>
            </w:r>
            <w:r w:rsidR="00DA52B1" w:rsidRPr="00C12040">
              <w:t>сельского</w:t>
            </w:r>
            <w:proofErr w:type="spellEnd"/>
            <w:r w:rsidR="00DA52B1" w:rsidRPr="00C12040">
              <w:t xml:space="preserve"> поселения</w:t>
            </w:r>
          </w:p>
        </w:tc>
      </w:tr>
      <w:tr w:rsidR="00520269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-ОАО «Водоканал»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жилищного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lastRenderedPageBreak/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 xml:space="preserve">многоквартирных домов для повышения их комфортности  и </w:t>
            </w:r>
            <w:proofErr w:type="spellStart"/>
            <w:r w:rsidRPr="00C12040">
              <w:t>эне</w:t>
            </w:r>
            <w:r w:rsidRPr="00C12040">
              <w:t>р</w:t>
            </w:r>
            <w:r w:rsidRPr="00C12040">
              <w:t>гоэффективности</w:t>
            </w:r>
            <w:proofErr w:type="spellEnd"/>
            <w:r w:rsidRPr="00C12040">
              <w:t>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</w:t>
            </w:r>
            <w:proofErr w:type="gramStart"/>
            <w:r w:rsidRPr="00C12040">
              <w:t xml:space="preserve"> ,</w:t>
            </w:r>
            <w:proofErr w:type="gramEnd"/>
            <w:r w:rsidRPr="00C12040">
              <w:t xml:space="preserve">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</w:t>
            </w:r>
            <w:r w:rsidRPr="00C12040">
              <w:rPr>
                <w:rFonts w:eastAsia="Calibri"/>
                <w:lang w:eastAsia="en-US"/>
              </w:rPr>
              <w:lastRenderedPageBreak/>
              <w:t>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130179,4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6929DA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A0FD9">
                          <w:t>3</w:t>
                        </w:r>
                        <w:r w:rsidR="006929DA">
                          <w:t>9637,8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387C76" w:rsidRPr="00C12040">
                          <w:t>–8268,2</w:t>
                        </w:r>
                        <w:r w:rsidR="00872F1C" w:rsidRPr="00C12040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2018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>2019 год −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2020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6929DA">
                    <w:t>31720,9</w:t>
                  </w:r>
                  <w:r w:rsidRPr="00C12040">
                    <w:t xml:space="preserve"> тыс.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2016 год −  </w:t>
                  </w:r>
                  <w:r w:rsidR="006929DA">
                    <w:t xml:space="preserve">23607,8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61256D" w:rsidRPr="00C12040" w:rsidRDefault="0061256D" w:rsidP="00314F9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 xml:space="preserve">0,0 </w:t>
                  </w:r>
                  <w:r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F16B72">
                    <w:t>98</w:t>
                  </w:r>
                  <w:r w:rsidR="006929DA">
                    <w:t>458</w:t>
                  </w:r>
                  <w:r w:rsidR="00F16B72">
                    <w:t>,</w:t>
                  </w:r>
                  <w:r w:rsidR="006929DA">
                    <w:t>5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DD74D9" w:rsidRPr="00C12040">
                    <w:t>22506,0</w:t>
                  </w:r>
                  <w:r w:rsidRPr="00C12040">
                    <w:t xml:space="preserve"> тыс. рублей;</w:t>
                  </w:r>
                </w:p>
                <w:p w:rsidR="00AC5716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B45EAD" w:rsidRPr="009E53E7">
                    <w:t>16</w:t>
                  </w:r>
                  <w:r w:rsidR="006929DA">
                    <w:t>030</w:t>
                  </w:r>
                  <w:r w:rsidR="00946085">
                    <w:t>,</w:t>
                  </w:r>
                  <w:r w:rsidR="006929DA">
                    <w:t>0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412C82" w:rsidP="00AC5716">
                  <w:pPr>
                    <w:jc w:val="both"/>
                  </w:pPr>
                  <w:r w:rsidRPr="00C12040">
                    <w:t xml:space="preserve">2017 год −   </w:t>
                  </w:r>
                  <w:r w:rsidR="00DD74D9" w:rsidRPr="00C12040">
                    <w:t>8268,2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2018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2019 год −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BA08A2" w:rsidP="00AC5716">
                  <w:pPr>
                    <w:jc w:val="both"/>
                  </w:pPr>
                  <w:r w:rsidRPr="00C12040">
                    <w:t xml:space="preserve">2020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</w:t>
                  </w:r>
                  <w:r w:rsidRPr="00C12040">
                    <w:lastRenderedPageBreak/>
                    <w:t>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</w:t>
            </w:r>
            <w:proofErr w:type="gramStart"/>
            <w:r w:rsidRPr="00C12040">
              <w:t>.м</w:t>
            </w:r>
            <w:proofErr w:type="gramEnd"/>
            <w:r w:rsidRPr="00C12040">
              <w:t>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proofErr w:type="gramStart"/>
      <w:r w:rsidR="006C1C52" w:rsidRPr="00C12040">
        <w:t>Матвеево-Курганского</w:t>
      </w:r>
      <w:proofErr w:type="gramEnd"/>
      <w:r w:rsidR="006C1C52" w:rsidRPr="00C12040">
        <w:t xml:space="preserve">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 xml:space="preserve">но-коммунальных услуг и нормативной надежности систем коммунальной инфраструктуры, повышение </w:t>
      </w:r>
      <w:proofErr w:type="spellStart"/>
      <w:r w:rsidRPr="00C12040">
        <w:t>энергоэ</w:t>
      </w:r>
      <w:r w:rsidRPr="00C12040">
        <w:t>ф</w:t>
      </w:r>
      <w:r w:rsidRPr="00C12040">
        <w:t>фективности</w:t>
      </w:r>
      <w:proofErr w:type="spellEnd"/>
      <w:r w:rsidRPr="00C12040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</w:t>
      </w:r>
      <w:proofErr w:type="gramStart"/>
      <w:r w:rsidR="007846AC" w:rsidRPr="00C12040">
        <w:t>.М</w:t>
      </w:r>
      <w:proofErr w:type="gramEnd"/>
      <w:r w:rsidR="007846AC" w:rsidRPr="00C12040">
        <w:t>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 xml:space="preserve"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Pr="00C12040">
        <w:t>энергосервисных</w:t>
      </w:r>
      <w:proofErr w:type="spellEnd"/>
      <w:r w:rsidRPr="00C12040">
        <w:t xml:space="preserve">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Недостаточная информированность населения о правах и обязанностях в сфере жилищно-коммунального хозяйства препятствует организации эффективного </w:t>
      </w:r>
      <w:proofErr w:type="gramStart"/>
      <w:r w:rsidRPr="00C12040">
        <w:t>контроля за</w:t>
      </w:r>
      <w:proofErr w:type="gramEnd"/>
      <w:r w:rsidRPr="00C12040">
        <w:t xml:space="preserve">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lastRenderedPageBreak/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</w:t>
      </w:r>
      <w:proofErr w:type="gramStart"/>
      <w:r w:rsidR="004B46F6" w:rsidRPr="00C12040">
        <w:t>Матвеево-Курганскому</w:t>
      </w:r>
      <w:proofErr w:type="gramEnd"/>
      <w:r w:rsidR="004B46F6" w:rsidRPr="00C12040">
        <w:t xml:space="preserve">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использование </w:t>
      </w:r>
      <w:proofErr w:type="spellStart"/>
      <w:r w:rsidR="004518E6" w:rsidRPr="00C12040">
        <w:t>водоисточников</w:t>
      </w:r>
      <w:proofErr w:type="spellEnd"/>
      <w:r w:rsidR="004518E6" w:rsidRPr="00C12040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</w:t>
      </w:r>
      <w:proofErr w:type="gramStart"/>
      <w:r w:rsidR="004518E6" w:rsidRPr="00C12040">
        <w:t>дств дл</w:t>
      </w:r>
      <w:proofErr w:type="gramEnd"/>
      <w:r w:rsidR="004518E6" w:rsidRPr="00C12040">
        <w:t>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 xml:space="preserve">сел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</w:t>
      </w:r>
      <w:proofErr w:type="gramStart"/>
      <w:r w:rsidR="00823ED8" w:rsidRPr="00C12040">
        <w:t>.М</w:t>
      </w:r>
      <w:proofErr w:type="gramEnd"/>
      <w:r w:rsidR="00823ED8" w:rsidRPr="00C12040">
        <w:t>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Без принятия срочных мер правового и институционального характера на государственном, в том </w:t>
      </w:r>
      <w:proofErr w:type="spellStart"/>
      <w:r w:rsidRPr="00C12040">
        <w:t>числе</w:t>
      </w:r>
      <w:r w:rsidR="005911E6" w:rsidRPr="00C12040">
        <w:t>региональном</w:t>
      </w:r>
      <w:proofErr w:type="gramStart"/>
      <w:r w:rsidR="005911E6" w:rsidRPr="00C12040">
        <w:t>,</w:t>
      </w:r>
      <w:r w:rsidR="00DD11F5" w:rsidRPr="00C12040">
        <w:t>м</w:t>
      </w:r>
      <w:proofErr w:type="gramEnd"/>
      <w:r w:rsidR="00DD11F5" w:rsidRPr="00C12040">
        <w:t>естном</w:t>
      </w:r>
      <w:proofErr w:type="spellEnd"/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 xml:space="preserve">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 xml:space="preserve">Основной целью Муниципальной программы является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</w:t>
      </w:r>
      <w:r w:rsidR="00EE1321" w:rsidRPr="00C12040">
        <w:t>Курганского</w:t>
      </w:r>
      <w:proofErr w:type="gramEnd"/>
      <w:r w:rsidR="00EE1321" w:rsidRPr="00C12040">
        <w:t xml:space="preserve">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 xml:space="preserve">фортности и </w:t>
      </w:r>
      <w:proofErr w:type="spellStart"/>
      <w:r w:rsidRPr="00C12040">
        <w:t>энергоэффективности</w:t>
      </w:r>
      <w:proofErr w:type="spellEnd"/>
      <w:r w:rsidRPr="00C12040">
        <w:t>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EE1321" w:rsidP="00EE1321">
      <w:pPr>
        <w:widowControl/>
        <w:ind w:left="644"/>
      </w:pPr>
      <w:r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830833" w:rsidRPr="00C12040" w:rsidRDefault="00306840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306840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306840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306840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 xml:space="preserve">оля фактически освещенных улиц в общей протяженности   улиц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 xml:space="preserve">ровень газификации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</w:t>
      </w:r>
      <w:proofErr w:type="spellStart"/>
      <w:r w:rsidRPr="00C12040">
        <w:t>Доля</w:t>
      </w:r>
      <w:r w:rsidRPr="00C12040">
        <w:rPr>
          <w:rFonts w:eastAsia="Calibri"/>
          <w:lang w:eastAsia="en-US"/>
        </w:rPr>
        <w:t>отремонтированных</w:t>
      </w:r>
      <w:proofErr w:type="spellEnd"/>
      <w:r w:rsidRPr="00C12040">
        <w:rPr>
          <w:rFonts w:eastAsia="Calibri"/>
          <w:lang w:eastAsia="en-US"/>
        </w:rPr>
        <w:t xml:space="preserve">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подпрограммы 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1000C" w:rsidRPr="00C12040">
        <w:t>Матвеево-Курганского</w:t>
      </w:r>
      <w:proofErr w:type="gramEnd"/>
      <w:r w:rsidR="0091000C" w:rsidRPr="00C12040">
        <w:t xml:space="preserve">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 xml:space="preserve">«Развитие коммунального хозяйства в </w:t>
      </w:r>
      <w:proofErr w:type="gramStart"/>
      <w:r w:rsidR="00B546A2" w:rsidRPr="00C12040">
        <w:t>Матвеево-Курганском</w:t>
      </w:r>
      <w:proofErr w:type="gramEnd"/>
      <w:r w:rsidR="00B546A2" w:rsidRPr="00C12040">
        <w:t xml:space="preserve">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 xml:space="preserve">Благоустройство территории </w:t>
      </w:r>
      <w:proofErr w:type="gramStart"/>
      <w:r w:rsidR="00F8163A" w:rsidRPr="00C12040">
        <w:t>Матвеево-Курганского</w:t>
      </w:r>
      <w:proofErr w:type="gramEnd"/>
      <w:r w:rsidR="00F8163A" w:rsidRPr="00C12040">
        <w:t xml:space="preserve">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306840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6929DA">
        <w:t>130179,4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6929DA">
        <w:t xml:space="preserve"> 31720,9</w:t>
      </w:r>
      <w:r w:rsidR="00F16B72">
        <w:t xml:space="preserve"> 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6929DA">
        <w:t xml:space="preserve"> </w:t>
      </w:r>
      <w:r w:rsidR="002F7F6B">
        <w:t>9</w:t>
      </w:r>
      <w:r w:rsidR="00F16B72">
        <w:t>8</w:t>
      </w:r>
      <w:r w:rsidR="006929DA">
        <w:t>458</w:t>
      </w:r>
      <w:r w:rsidR="00D37853">
        <w:t>,</w:t>
      </w:r>
      <w:r w:rsidR="006929DA">
        <w:t>5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306840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 в целом" </w:t>
      </w:r>
      <w:proofErr w:type="gramStart"/>
      <w:r w:rsidRPr="00C12040">
        <w:t xml:space="preserve">базируется на анализе целевых </w:t>
      </w:r>
      <w:proofErr w:type="spellStart"/>
      <w:r w:rsidRPr="00C12040">
        <w:t>показателейи</w:t>
      </w:r>
      <w:proofErr w:type="spellEnd"/>
      <w:r w:rsidRPr="00C12040">
        <w:t xml:space="preserve"> рассчитывается</w:t>
      </w:r>
      <w:proofErr w:type="gramEnd"/>
      <w:r w:rsidRPr="00C12040">
        <w:t xml:space="preserve">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proofErr w:type="spellStart"/>
        <w:r w:rsidRPr="00C12040">
          <w:t>Регламентом</w:t>
        </w:r>
      </w:hyperlink>
      <w:r w:rsidR="00CF5C69" w:rsidRPr="00C12040">
        <w:t>Администрации</w:t>
      </w:r>
      <w:proofErr w:type="spellEnd"/>
      <w:r w:rsidR="00CF5C69" w:rsidRPr="00C12040">
        <w:t xml:space="preserve">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 xml:space="preserve">ому </w:t>
      </w:r>
      <w:proofErr w:type="spellStart"/>
      <w:r w:rsidR="00CF5C69" w:rsidRPr="00C12040">
        <w:t>отделуМатвеево</w:t>
      </w:r>
      <w:proofErr w:type="spellEnd"/>
      <w:r w:rsidR="00CF5C69" w:rsidRPr="00C12040">
        <w:t>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4549FF" w:rsidP="00D31A68">
            <w:pPr>
              <w:pStyle w:val="Default"/>
              <w:ind w:left="-1542" w:right="1985"/>
            </w:pPr>
            <w:proofErr w:type="spellStart"/>
            <w:r w:rsidRPr="00C12040">
              <w:t>количествмКол</w:t>
            </w:r>
            <w:r w:rsidR="00F25077" w:rsidRPr="00C12040">
              <w:t>и</w:t>
            </w:r>
            <w:r w:rsidRPr="00C12040">
              <w:t>чество</w:t>
            </w:r>
            <w:proofErr w:type="spellEnd"/>
            <w:r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>
              <w:t>11</w:t>
            </w:r>
            <w:r w:rsidR="00D63402">
              <w:t>8</w:t>
            </w:r>
            <w:r w:rsidR="00017765">
              <w:t>1</w:t>
            </w:r>
            <w:r w:rsidR="00D63402">
              <w:t>1,</w:t>
            </w:r>
            <w:r w:rsidR="00017765">
              <w:t>5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1194,8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DE5E8D" w:rsidRPr="00C12040">
              <w:t>15,0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-</w:t>
            </w:r>
          </w:p>
          <w:p w:rsidR="00401FA1" w:rsidRDefault="002F7F6B" w:rsidP="00936586">
            <w:pPr>
              <w:pStyle w:val="ConsPlusCell"/>
            </w:pPr>
            <w:r>
              <w:t>12</w:t>
            </w:r>
            <w:r w:rsidR="00017765">
              <w:t>6</w:t>
            </w:r>
            <w:r w:rsidR="00D63402">
              <w:t>4,</w:t>
            </w:r>
            <w:r w:rsidR="00017765">
              <w:t>2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lastRenderedPageBreak/>
              <w:t xml:space="preserve">в </w:t>
            </w:r>
            <w:r w:rsidR="001E5AD9" w:rsidRPr="00C12040">
              <w:t xml:space="preserve">2016 году – </w:t>
            </w:r>
            <w:r w:rsidR="00017765">
              <w:t>64</w:t>
            </w:r>
            <w:r w:rsidR="00D63402">
              <w:t>7,</w:t>
            </w:r>
            <w:r w:rsidR="0044728D">
              <w:t>5</w:t>
            </w:r>
            <w:r w:rsidR="00017765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2017 году – </w:t>
            </w:r>
            <w:r w:rsidR="00DE5E8D" w:rsidRPr="00C12040">
              <w:t>15,0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>в 2018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2019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2020 году – 12,5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мах, помимо прав и обязанностей в отношении помещений в таких домах,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</w:t>
      </w:r>
      <w:proofErr w:type="gramStart"/>
      <w:r w:rsidRPr="00C12040"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t xml:space="preserve">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 xml:space="preserve">гоквартирных домов осуществляется в зависимости от выполнения условий </w:t>
      </w:r>
      <w:proofErr w:type="spellStart"/>
      <w:r w:rsidRPr="00C12040">
        <w:t>реформированияЖКХ</w:t>
      </w:r>
      <w:proofErr w:type="spellEnd"/>
      <w:r w:rsidRPr="00C12040">
        <w:t xml:space="preserve">, в числе которых </w:t>
      </w:r>
      <w:proofErr w:type="gramStart"/>
      <w:r w:rsidRPr="00C12040">
        <w:t>–у</w:t>
      </w:r>
      <w:proofErr w:type="gramEnd"/>
      <w:r w:rsidRPr="00C12040">
        <w:t xml:space="preserve">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лищного фонда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щегося законодательства. По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прежнемуактуальным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улучшение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     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4549FF">
      <w:pPr>
        <w:pStyle w:val="Default"/>
        <w:jc w:val="both"/>
      </w:pPr>
    </w:p>
    <w:p w:rsidR="004549FF" w:rsidRPr="00C12040" w:rsidRDefault="004549FF" w:rsidP="004549FF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Pr="00C12040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управления многоквартирными домами.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тики </w:t>
      </w:r>
      <w:proofErr w:type="gramStart"/>
      <w:r w:rsidRPr="00C12040">
        <w:rPr>
          <w:color w:val="auto"/>
        </w:rPr>
        <w:t>–с</w:t>
      </w:r>
      <w:proofErr w:type="gramEnd"/>
      <w:r w:rsidRPr="00C12040">
        <w:rPr>
          <w:color w:val="auto"/>
        </w:rPr>
        <w:t>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 механизм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тельности населения многоквартирных жилых домов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поселения. В результате реализации подпрограммы к 2020 году должен сложиться качественно новый </w:t>
      </w:r>
      <w:proofErr w:type="spellStart"/>
      <w:r w:rsidRPr="00C12040">
        <w:rPr>
          <w:color w:val="auto"/>
        </w:rPr>
        <w:t>уровеньс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</w:t>
      </w:r>
      <w:proofErr w:type="spellEnd"/>
      <w:r w:rsidRPr="00C12040">
        <w:rPr>
          <w:color w:val="auto"/>
        </w:rPr>
        <w:t xml:space="preserve">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</w:t>
      </w:r>
      <w:proofErr w:type="gramStart"/>
      <w:r w:rsidRPr="00C12040">
        <w:rPr>
          <w:color w:val="auto"/>
        </w:rPr>
        <w:t>контроль за</w:t>
      </w:r>
      <w:proofErr w:type="gramEnd"/>
      <w:r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lastRenderedPageBreak/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</w:t>
      </w:r>
      <w:proofErr w:type="gramStart"/>
      <w:r w:rsidR="00FA7050" w:rsidRPr="00C12040">
        <w:t>.р</w:t>
      </w:r>
      <w:proofErr w:type="gramEnd"/>
      <w:r w:rsidR="00FA7050" w:rsidRPr="00C12040">
        <w:t>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861C0">
        <w:t>4</w:t>
      </w:r>
      <w:r w:rsidR="005A5E01">
        <w:t>7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Pr="00C12040" w:rsidRDefault="00401FA1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Средства областного и местного бюджетов имеют целевое назначение и не могут быть </w:t>
      </w:r>
      <w:proofErr w:type="spellStart"/>
      <w:r w:rsidRPr="00C12040">
        <w:rPr>
          <w:color w:val="auto"/>
        </w:rPr>
        <w:t>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пользованына</w:t>
      </w:r>
      <w:proofErr w:type="spellEnd"/>
      <w:r w:rsidRPr="00C12040">
        <w:rPr>
          <w:color w:val="auto"/>
        </w:rPr>
        <w:t xml:space="preserve">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proofErr w:type="gramStart"/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</w:t>
      </w:r>
      <w:proofErr w:type="gramEnd"/>
      <w:r w:rsidRPr="00C12040">
        <w:rPr>
          <w:color w:val="auto"/>
        </w:rPr>
        <w:t xml:space="preserve">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>гоквартирных домов на территории муниципального образования в целях выполнения условий, 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средств местного бюджета, направляемых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ударственной подпрограммы, в объеме не ниже уровня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>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ния, порядке и сроках сбора средств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обследования, порядке расчетов за выполненные работы. Размер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На основании муниципальной подпрограммы капитального ремонта утверждается </w:t>
      </w:r>
      <w:proofErr w:type="spellStart"/>
      <w:r w:rsidRPr="00C12040">
        <w:rPr>
          <w:color w:val="auto"/>
        </w:rPr>
        <w:t>адре</w:t>
      </w:r>
      <w:r w:rsidRPr="00C12040">
        <w:rPr>
          <w:color w:val="auto"/>
        </w:rPr>
        <w:t>с</w:t>
      </w:r>
      <w:r w:rsidRPr="00C12040">
        <w:rPr>
          <w:color w:val="auto"/>
        </w:rPr>
        <w:t>ныйпереченьмногоквартирных</w:t>
      </w:r>
      <w:proofErr w:type="spellEnd"/>
      <w:r w:rsidRPr="00C12040">
        <w:rPr>
          <w:color w:val="auto"/>
        </w:rPr>
        <w:t xml:space="preserve">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ков, в том числе средства собственников помещений в многоквартирном </w:t>
      </w:r>
      <w:proofErr w:type="spellStart"/>
      <w:r w:rsidRPr="00C12040">
        <w:rPr>
          <w:color w:val="auto"/>
        </w:rPr>
        <w:t>доме</w:t>
      </w:r>
      <w:proofErr w:type="gramStart"/>
      <w:r w:rsidRPr="00C12040">
        <w:rPr>
          <w:color w:val="auto"/>
        </w:rPr>
        <w:t>,</w:t>
      </w:r>
      <w:r w:rsidRPr="00C12040">
        <w:t>в</w:t>
      </w:r>
      <w:proofErr w:type="gramEnd"/>
      <w:r w:rsidRPr="00C12040">
        <w:t>носимые</w:t>
      </w:r>
      <w:proofErr w:type="spellEnd"/>
      <w:r w:rsidRPr="00C12040">
        <w:t xml:space="preserve"> в счет опл</w:t>
      </w:r>
      <w:r w:rsidRPr="00C12040">
        <w:t>а</w:t>
      </w:r>
      <w:r w:rsidRPr="00C12040">
        <w:t xml:space="preserve">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многоквартирного дома. ТСЖ либо выбранная </w:t>
      </w:r>
      <w:r w:rsidRPr="00C12040">
        <w:lastRenderedPageBreak/>
        <w:t xml:space="preserve">собственниками помещений в многоквартирном доме управляющая организация обязаны обеспечить учет средств, вносимых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</w:t>
      </w:r>
      <w:r w:rsidRPr="00C12040">
        <w:t>р</w:t>
      </w:r>
      <w:r w:rsidRPr="00C12040">
        <w:t>ного дома, в разрезе лицевых счетов собственников помещений, и обеспечить их сохранность до м</w:t>
      </w:r>
      <w:r w:rsidRPr="00C12040">
        <w:t>о</w:t>
      </w:r>
      <w:r w:rsidRPr="00C12040">
        <w:t xml:space="preserve">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</w:t>
      </w:r>
      <w:proofErr w:type="gramStart"/>
      <w:r w:rsidRPr="00C12040">
        <w:t>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C12040">
        <w:t xml:space="preserve">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>  ТСЖ или  со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>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</w:t>
      </w:r>
      <w:proofErr w:type="gramStart"/>
      <w:r w:rsidRPr="00C12040">
        <w:rPr>
          <w:color w:val="auto"/>
        </w:rPr>
        <w:t>контроля за</w:t>
      </w:r>
      <w:proofErr w:type="gramEnd"/>
      <w:r w:rsidRPr="00C12040">
        <w:rPr>
          <w:color w:val="auto"/>
        </w:rPr>
        <w:t xml:space="preserve">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lastRenderedPageBreak/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proofErr w:type="gramStart"/>
      <w:r w:rsidRPr="00C12040">
        <w:rPr>
          <w:lang w:val="en-US"/>
        </w:rPr>
        <w:t>i</w:t>
      </w:r>
      <w:proofErr w:type="gramEnd"/>
      <w:r w:rsidRPr="00C12040">
        <w:t xml:space="preserve"> = (</w:t>
      </w:r>
      <w:proofErr w:type="spellStart"/>
      <w:r w:rsidRPr="00C12040">
        <w:rPr>
          <w:lang w:val="en-US"/>
        </w:rPr>
        <w:t>SUMlim</w:t>
      </w:r>
      <w:proofErr w:type="spellEnd"/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proofErr w:type="spellStart"/>
      <w:r w:rsidRPr="00C12040">
        <w:rPr>
          <w:lang w:val="en-US"/>
        </w:rPr>
        <w:t>xSi</w:t>
      </w:r>
      <w:proofErr w:type="spellEnd"/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 xml:space="preserve">где: </w:t>
      </w:r>
      <w:proofErr w:type="spellStart"/>
      <w:r w:rsidRPr="00C12040">
        <w:t>Ci</w:t>
      </w:r>
      <w:proofErr w:type="spellEnd"/>
      <w:r w:rsidRPr="00C12040">
        <w:t xml:space="preserve">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SUMlim</w:t>
      </w:r>
      <w:proofErr w:type="spellEnd"/>
      <w:r w:rsidRPr="00C12040">
        <w:t xml:space="preserve"> – общий объем бюджетных ассигнований, предусмотренных </w:t>
      </w:r>
      <w:proofErr w:type="spellStart"/>
      <w:r w:rsidRPr="00C12040">
        <w:t>вобластномзаконе</w:t>
      </w:r>
      <w:proofErr w:type="spellEnd"/>
      <w:r w:rsidRPr="00C12040">
        <w:t xml:space="preserve"> об облас</w:t>
      </w:r>
      <w:r w:rsidRPr="00C12040">
        <w:t>т</w:t>
      </w:r>
      <w:r w:rsidRPr="00C12040">
        <w:t xml:space="preserve">ном бюджете на очередной финансовый год </w:t>
      </w:r>
      <w:proofErr w:type="spellStart"/>
      <w:r w:rsidRPr="00C12040">
        <w:t>нареализацию</w:t>
      </w:r>
      <w:proofErr w:type="spellEnd"/>
      <w:r w:rsidRPr="00C12040">
        <w:t xml:space="preserve">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proofErr w:type="gramStart"/>
      <w:r w:rsidRPr="00C12040">
        <w:t>S</w:t>
      </w:r>
      <w:proofErr w:type="gramEnd"/>
      <w:r w:rsidRPr="00C12040">
        <w:t>общ</w:t>
      </w:r>
      <w:proofErr w:type="spellEnd"/>
      <w:r w:rsidRPr="00C12040">
        <w:t xml:space="preserve">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Si</w:t>
      </w:r>
      <w:proofErr w:type="spellEnd"/>
      <w:r w:rsidRPr="00C12040">
        <w:t xml:space="preserve"> – общая площадь многоквартирных домов, нуждающихся в капремонте, с износом от 40 до 70 </w:t>
      </w:r>
      <w:proofErr w:type="spellStart"/>
      <w:r w:rsidRPr="00C12040">
        <w:t>процентов</w:t>
      </w:r>
      <w:proofErr w:type="gramStart"/>
      <w:r w:rsidRPr="00C12040">
        <w:t>,с</w:t>
      </w:r>
      <w:proofErr w:type="spellEnd"/>
      <w:proofErr w:type="gramEnd"/>
      <w:r w:rsidRPr="00C12040">
        <w:t xml:space="preserve">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E2344B">
              <w:t>26823,2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E2344B">
              <w:t>14969,0</w:t>
            </w:r>
            <w:r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–151,1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2018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210652" w:rsidRPr="00C12040">
              <w:t>755,4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E2344B">
              <w:t xml:space="preserve"> 20179</w:t>
            </w:r>
            <w:r w:rsidR="00023536" w:rsidRPr="00023536">
              <w:t>,</w:t>
            </w:r>
            <w:r w:rsidR="00E2344B">
              <w:t>9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E2344B">
              <w:t>13060,5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074ADF">
              <w:t>6</w:t>
            </w:r>
            <w:r w:rsidR="00E2344B">
              <w:t>643</w:t>
            </w:r>
            <w:r w:rsidR="00074ADF">
              <w:t>,</w:t>
            </w:r>
            <w:r w:rsidR="00E2344B">
              <w:t>3</w:t>
            </w:r>
            <w:r w:rsidR="00596B3E"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Pr="00C12040" w:rsidRDefault="00596B3E" w:rsidP="007F6069">
            <w:pPr>
              <w:pStyle w:val="ConsPlusCell"/>
            </w:pPr>
            <w:r w:rsidRPr="00C12040">
              <w:t xml:space="preserve"> в 2016 году </w:t>
            </w:r>
            <w:r w:rsidR="006A7B57" w:rsidRPr="00C12040">
              <w:t>–</w:t>
            </w:r>
            <w:r w:rsidR="00E2344B">
              <w:t xml:space="preserve"> 1908,5</w:t>
            </w:r>
            <w:r w:rsidR="00692C0A">
              <w:t xml:space="preserve">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 в 2018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2019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2020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596B3E" w:rsidRPr="00C12040" w:rsidRDefault="00596B3E" w:rsidP="00483737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proofErr w:type="gramStart"/>
      <w:r w:rsidR="004A355B" w:rsidRPr="00C12040">
        <w:t>Матвеево-Курганского</w:t>
      </w:r>
      <w:proofErr w:type="gramEnd"/>
      <w:r w:rsidR="004A355B" w:rsidRPr="00C12040">
        <w:t xml:space="preserve">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</w:t>
      </w:r>
      <w:proofErr w:type="gramEnd"/>
      <w:r w:rsidRPr="00C12040">
        <w:t xml:space="preserve">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proofErr w:type="gramStart"/>
      <w:r w:rsidR="00B12A57" w:rsidRPr="00C12040">
        <w:t>Матвеево-Курганскому</w:t>
      </w:r>
      <w:proofErr w:type="gramEnd"/>
      <w:r w:rsidR="00B12A57" w:rsidRPr="00C12040">
        <w:t xml:space="preserve">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proofErr w:type="gramStart"/>
      <w:r w:rsidR="001B07AA" w:rsidRPr="00C12040">
        <w:t>Матвеево-Курганскому</w:t>
      </w:r>
      <w:proofErr w:type="gramEnd"/>
      <w:r w:rsidR="001B07AA" w:rsidRPr="00C12040">
        <w:t xml:space="preserve">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t xml:space="preserve">чивается. В целом по </w:t>
      </w:r>
      <w:proofErr w:type="gramStart"/>
      <w:r w:rsidR="00484B39" w:rsidRPr="00C12040">
        <w:t>Матвеево-Курганскому</w:t>
      </w:r>
      <w:proofErr w:type="gramEnd"/>
      <w:r w:rsidR="00484B39" w:rsidRPr="00C12040">
        <w:t xml:space="preserve">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Сооружениями централизованного водоснабжения в </w:t>
      </w:r>
      <w:proofErr w:type="gramStart"/>
      <w:r w:rsidR="001B07AA" w:rsidRPr="00C12040">
        <w:t>Матвеево-Курганском</w:t>
      </w:r>
      <w:proofErr w:type="gramEnd"/>
      <w:r w:rsidR="001B07AA" w:rsidRPr="00C12040">
        <w:t xml:space="preserve">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питьевых целей воду общественных и индивидуальных колодцев, родников использует 5,9 </w:t>
      </w:r>
      <w:r w:rsidRPr="00C12040">
        <w:lastRenderedPageBreak/>
        <w:t>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использование </w:t>
      </w:r>
      <w:proofErr w:type="spellStart"/>
      <w:r w:rsidRPr="00C12040">
        <w:t>водоисточников</w:t>
      </w:r>
      <w:proofErr w:type="spellEnd"/>
      <w:r w:rsidRPr="00C12040">
        <w:t xml:space="preserve">, в том числе без очистки и обеззараживания, и питьевой воды, не </w:t>
      </w:r>
      <w:proofErr w:type="gramStart"/>
      <w:r w:rsidRPr="00C12040">
        <w:t>отвечающих</w:t>
      </w:r>
      <w:proofErr w:type="gramEnd"/>
      <w:r w:rsidRPr="00C12040">
        <w:t xml:space="preserve">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отсутствие </w:t>
      </w:r>
      <w:proofErr w:type="gramStart"/>
      <w:r w:rsidRPr="00C12040">
        <w:t>ограждений зон санитарной охраны подземных источников водоснабжения</w:t>
      </w:r>
      <w:proofErr w:type="gram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невостребованность</w:t>
      </w:r>
      <w:proofErr w:type="spellEnd"/>
      <w:r w:rsidRPr="00C12040">
        <w:t xml:space="preserve">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proofErr w:type="gramStart"/>
      <w:r w:rsidR="00D50E99" w:rsidRPr="00C12040">
        <w:t>Матвеево-Курганского</w:t>
      </w:r>
      <w:proofErr w:type="gramEnd"/>
      <w:r w:rsidR="00D50E99" w:rsidRPr="00C12040">
        <w:t xml:space="preserve">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lastRenderedPageBreak/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предоставление субсидий областного бюджета </w:t>
      </w:r>
      <w:proofErr w:type="spellStart"/>
      <w:r w:rsidRPr="00C12040">
        <w:t>бюджет</w:t>
      </w:r>
      <w:r w:rsidR="00DB7EFE" w:rsidRPr="00C12040">
        <w:t>уМатве</w:t>
      </w:r>
      <w:r w:rsidR="00DB7EFE" w:rsidRPr="00C12040">
        <w:t>е</w:t>
      </w:r>
      <w:r w:rsidR="00DB7EFE" w:rsidRPr="00C12040">
        <w:t>во</w:t>
      </w:r>
      <w:proofErr w:type="spellEnd"/>
      <w:r w:rsidR="00DB7EFE" w:rsidRPr="00C12040">
        <w:t xml:space="preserve">-Курганского сельского поселения </w:t>
      </w:r>
      <w:r w:rsidRPr="00C12040">
        <w:t xml:space="preserve">на </w:t>
      </w:r>
      <w:proofErr w:type="spellStart"/>
      <w:r w:rsidRPr="00C12040">
        <w:t>софинансирование</w:t>
      </w:r>
      <w:proofErr w:type="spellEnd"/>
      <w:r w:rsidRPr="00C12040">
        <w:t xml:space="preserve">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E2344B">
        <w:t>26823,2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074ADF">
        <w:t xml:space="preserve"> </w:t>
      </w:r>
      <w:r w:rsidR="00E2344B">
        <w:t>20179,9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074ADF">
        <w:t xml:space="preserve"> 6</w:t>
      </w:r>
      <w:r w:rsidR="00E2344B">
        <w:t>643</w:t>
      </w:r>
      <w:r w:rsidR="00074ADF">
        <w:t>,</w:t>
      </w:r>
      <w:r w:rsidR="00E2344B">
        <w:t>3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участию в реш</w:t>
            </w:r>
            <w:r w:rsidR="00091332" w:rsidRPr="00C12040">
              <w:t>е</w:t>
            </w:r>
            <w:r w:rsidR="00091332" w:rsidRPr="00C12040">
              <w:t xml:space="preserve">нии вопросов благоустройства и поддержания </w:t>
            </w:r>
            <w:r w:rsidR="00091332" w:rsidRPr="00C12040">
              <w:lastRenderedPageBreak/>
              <w:t>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 xml:space="preserve">отловленных бродячих животных к общему числу бродячих </w:t>
            </w:r>
            <w:proofErr w:type="spellStart"/>
            <w:r w:rsidR="00D64A11" w:rsidRPr="00C12040">
              <w:rPr>
                <w:rFonts w:eastAsia="Calibri"/>
                <w:lang w:eastAsia="en-US"/>
              </w:rPr>
              <w:t>животых</w:t>
            </w:r>
            <w:proofErr w:type="spellEnd"/>
            <w:r w:rsidR="00D64A11" w:rsidRPr="00C12040">
              <w:rPr>
                <w:rFonts w:eastAsia="Calibri"/>
                <w:lang w:eastAsia="en-US"/>
              </w:rPr>
              <w:t>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5DB3" w:rsidRPr="00645DB3">
              <w:t>9</w:t>
            </w:r>
            <w:r w:rsidR="00FE126B">
              <w:t>1</w:t>
            </w:r>
            <w:r w:rsidR="004021E1">
              <w:t>39</w:t>
            </w:r>
            <w:r w:rsidR="00E93835" w:rsidRPr="00E93835">
              <w:t>3</w:t>
            </w:r>
            <w:r w:rsidR="004129D1">
              <w:t>,</w:t>
            </w:r>
            <w:r w:rsidR="00FE126B">
              <w:t>3</w:t>
            </w:r>
            <w:r w:rsidRPr="00C12040">
              <w:t xml:space="preserve"> тыс. рублей, в том числе: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18607,8</w:t>
            </w:r>
            <w:r w:rsidRPr="00C12040">
              <w:t xml:space="preserve"> 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2015 году – 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2016 году – </w:t>
            </w:r>
            <w:r w:rsidR="00FE126B">
              <w:t>13</w:t>
            </w:r>
            <w:r w:rsidR="00E93835" w:rsidRPr="009E53E7">
              <w:t>4</w:t>
            </w:r>
            <w:r w:rsidR="004021E1">
              <w:t>74</w:t>
            </w:r>
            <w:r w:rsidR="00FE126B">
              <w:t xml:space="preserve">,0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8F733A" w:rsidRPr="00C12040">
              <w:t>8102,1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2018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C12040">
              <w:t>8</w:t>
            </w:r>
            <w:r w:rsidR="00C52A6A">
              <w:t>11</w:t>
            </w:r>
            <w:r w:rsidR="00645DB3">
              <w:t>3,1</w:t>
            </w:r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</w:t>
            </w:r>
            <w:proofErr w:type="gramStart"/>
            <w:r w:rsidR="008F733A" w:rsidRPr="00C12040">
              <w:t>.р</w:t>
            </w:r>
            <w:proofErr w:type="gramEnd"/>
            <w:r w:rsidR="008F733A" w:rsidRPr="00C12040">
              <w:t>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>в 2015 году – 3</w:t>
            </w:r>
            <w:r w:rsidR="00C52A6A">
              <w:t>039</w:t>
            </w:r>
            <w:r w:rsidRPr="00C12040">
              <w:t>,0 тыс</w:t>
            </w:r>
            <w:proofErr w:type="gramStart"/>
            <w:r w:rsidRPr="00C12040">
              <w:t>.р</w:t>
            </w:r>
            <w:proofErr w:type="gramEnd"/>
            <w:r w:rsidRPr="00C12040">
              <w:t>ублей.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E93835" w:rsidRPr="00E93835">
              <w:t>83</w:t>
            </w:r>
            <w:r w:rsidR="00582574">
              <w:t>280</w:t>
            </w:r>
            <w:r w:rsidR="00E93835" w:rsidRPr="00E93835">
              <w:t>,2</w:t>
            </w:r>
            <w:r w:rsidRPr="00C12040">
              <w:t xml:space="preserve"> тыс. рублей, в том числе: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13</w:t>
            </w:r>
            <w:r w:rsidR="00582574">
              <w:t>534</w:t>
            </w:r>
            <w:r w:rsidR="008F733A" w:rsidRPr="00C12040">
              <w:t>,3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2015 году – </w:t>
            </w:r>
            <w:r w:rsidR="00C52A6A">
              <w:t>11</w:t>
            </w:r>
            <w:r w:rsidR="004129D1">
              <w:t>139</w:t>
            </w:r>
            <w:r w:rsidR="00C52A6A">
              <w:t>,</w:t>
            </w:r>
            <w:r w:rsidR="004129D1">
              <w:t>6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2016 году – </w:t>
            </w:r>
            <w:r w:rsidR="00FE126B">
              <w:t>13</w:t>
            </w:r>
            <w:r w:rsidR="00E93835" w:rsidRPr="009E53E7">
              <w:t>4</w:t>
            </w:r>
            <w:r w:rsidR="00582574">
              <w:t>74</w:t>
            </w:r>
            <w:r w:rsidR="00FE126B">
              <w:t xml:space="preserve">,0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2017 году – </w:t>
            </w:r>
            <w:r w:rsidR="008F733A" w:rsidRPr="00C12040">
              <w:t>8102,1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2018 году – 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2019 году – </w:t>
            </w:r>
            <w:r w:rsidR="00340540" w:rsidRPr="00C12040">
              <w:t xml:space="preserve">12343,4 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2020 году – </w:t>
            </w:r>
            <w:r w:rsidR="00340540" w:rsidRPr="00C12040">
              <w:t xml:space="preserve">12343,4 </w:t>
            </w:r>
            <w:r w:rsidRPr="00C12040">
              <w:t xml:space="preserve">тыс. рублей;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</w:t>
            </w:r>
            <w:proofErr w:type="gramStart"/>
            <w:r w:rsidRPr="00C12040">
              <w:t>.м</w:t>
            </w:r>
            <w:proofErr w:type="gramEnd"/>
            <w:r w:rsidRPr="00C12040">
              <w:t>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2430E5" w:rsidP="007F69C8">
      <w:pPr>
        <w:pStyle w:val="a5"/>
        <w:ind w:left="142" w:hanging="720"/>
        <w:jc w:val="both"/>
        <w:rPr>
          <w:color w:val="000000"/>
        </w:rPr>
      </w:pPr>
      <w:proofErr w:type="gramStart"/>
      <w:r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</w:t>
      </w:r>
      <w:r w:rsidRPr="00C12040">
        <w:rPr>
          <w:color w:val="000000"/>
        </w:rPr>
        <w:t>о</w:t>
      </w:r>
      <w:r w:rsidRPr="00C12040">
        <w:rPr>
          <w:color w:val="000000"/>
        </w:rPr>
        <w:t>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</w:t>
      </w:r>
      <w:r w:rsidRPr="00C12040">
        <w:rPr>
          <w:color w:val="000000"/>
        </w:rPr>
        <w:t>о</w:t>
      </w:r>
      <w:r w:rsidRPr="00C12040">
        <w:rPr>
          <w:color w:val="000000"/>
        </w:rPr>
        <w:t xml:space="preserve">управления при деятельном участии в ее решении городского населения.       </w:t>
      </w:r>
      <w:proofErr w:type="gramEnd"/>
    </w:p>
    <w:p w:rsidR="007F69C8" w:rsidRPr="00C12040" w:rsidRDefault="002430E5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>Программа разработана на основании Федерального закона от                               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</w:p>
    <w:p w:rsidR="002430E5" w:rsidRPr="00C12040" w:rsidRDefault="007F69C8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 -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2430E5" w:rsidRPr="00C12040">
        <w:rPr>
          <w:bCs/>
        </w:rPr>
        <w:t xml:space="preserve"> и  конкретизирует целевые критерии развития благоустройства Матвеево-Курганского сельского пос</w:t>
      </w:r>
      <w:r w:rsidR="002430E5" w:rsidRPr="00C12040">
        <w:rPr>
          <w:bCs/>
        </w:rPr>
        <w:t>е</w:t>
      </w:r>
      <w:r w:rsidR="002430E5" w:rsidRPr="00C12040">
        <w:rPr>
          <w:bCs/>
        </w:rPr>
        <w:t>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lastRenderedPageBreak/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proofErr w:type="spellStart"/>
      <w:r w:rsidR="00250338" w:rsidRPr="00C12040">
        <w:rPr>
          <w:rFonts w:eastAsia="Calibri"/>
          <w:lang w:val="ru-RU" w:eastAsia="en-US"/>
        </w:rPr>
        <w:t>количествоутилизированных</w:t>
      </w:r>
      <w:r w:rsidRPr="00C12040">
        <w:rPr>
          <w:rFonts w:eastAsia="Calibri"/>
          <w:lang w:eastAsia="en-US"/>
        </w:rPr>
        <w:t>бродячихживотных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общемучислубродячихживотых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утвержденными</w:t>
      </w:r>
      <w:r w:rsidR="003F692F" w:rsidRPr="00C12040">
        <w:t xml:space="preserve"> решением Собрания депутатов Ма</w:t>
      </w:r>
      <w:r w:rsidR="003F692F" w:rsidRPr="00C12040">
        <w:t>т</w:t>
      </w:r>
      <w:r w:rsidR="003F692F" w:rsidRPr="00C12040">
        <w:t>веево-Курганского сельского поселения от 26.04.2012 года №145.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952696" w:rsidRPr="00C12040" w:rsidRDefault="00A73719" w:rsidP="00952696">
      <w:pPr>
        <w:spacing w:after="280"/>
        <w:jc w:val="both"/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256BF5" w:rsidRPr="00C12040" w:rsidRDefault="00A73719" w:rsidP="00A73719">
      <w:pPr>
        <w:ind w:firstLine="708"/>
        <w:jc w:val="both"/>
        <w:rPr>
          <w:color w:val="000000"/>
        </w:rPr>
      </w:pP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952696" w:rsidRPr="00C12040" w:rsidRDefault="00256BF5" w:rsidP="00952696">
      <w:r w:rsidRPr="00C12040"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A73719" w:rsidRPr="00C12040" w:rsidRDefault="00256BF5" w:rsidP="00A73719">
      <w:pPr>
        <w:ind w:firstLine="708"/>
        <w:jc w:val="both"/>
        <w:rPr>
          <w:color w:val="000000"/>
        </w:rPr>
      </w:pP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952696" w:rsidRPr="00C12040" w:rsidRDefault="00A73719" w:rsidP="00952696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 xml:space="preserve"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rPr>
          <w:color w:val="000000"/>
        </w:rPr>
        <w:t>Данное мероприятие включает в себя уборку территорий гражданских кладбищ, ремонт памя</w:t>
      </w:r>
      <w:r w:rsidRPr="00C12040">
        <w:rPr>
          <w:color w:val="000000"/>
        </w:rPr>
        <w:t>т</w:t>
      </w:r>
      <w:r w:rsidRPr="00C12040">
        <w:rPr>
          <w:color w:val="000000"/>
        </w:rPr>
        <w:t>ников, обустройство мест воинских захоронений.</w:t>
      </w:r>
    </w:p>
    <w:p w:rsidR="00A73719" w:rsidRPr="00C12040" w:rsidRDefault="00A73719" w:rsidP="00AA47DA">
      <w:pPr>
        <w:jc w:val="both"/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Pr="00C12040">
        <w:rPr>
          <w:color w:val="000000"/>
        </w:rPr>
        <w:t xml:space="preserve"> 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включая разработку проектно-сметной документации.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</w:t>
      </w:r>
      <w:proofErr w:type="spellStart"/>
      <w:r w:rsidRPr="00C12040">
        <w:t>Курганскогосельского</w:t>
      </w:r>
      <w:proofErr w:type="spellEnd"/>
      <w:r w:rsidRPr="00C12040">
        <w:t xml:space="preserve">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FE126B">
        <w:t>91</w:t>
      </w:r>
      <w:r w:rsidR="00582574">
        <w:t>39</w:t>
      </w:r>
      <w:r w:rsidR="009376AC">
        <w:t>3</w:t>
      </w:r>
      <w:r w:rsidR="00FC4285">
        <w:t xml:space="preserve">,3 </w:t>
      </w:r>
      <w:r w:rsidRPr="00C12040">
        <w:t>тыс. рублей, в том числе по годам: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2014 году </w:t>
      </w:r>
      <w:r w:rsidR="00124479" w:rsidRPr="00C12040">
        <w:t>–</w:t>
      </w:r>
      <w:r w:rsidR="001D4913" w:rsidRPr="00C12040">
        <w:t>18607,8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2015 году </w:t>
      </w:r>
      <w:r w:rsidR="00124479" w:rsidRPr="00C12040">
        <w:t>–</w:t>
      </w:r>
      <w:r w:rsidR="006408ED">
        <w:t>14179,2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2016 году </w:t>
      </w:r>
      <w:r w:rsidR="00124479" w:rsidRPr="00C12040">
        <w:t>–</w:t>
      </w:r>
      <w:r w:rsidR="00FE126B">
        <w:t>13</w:t>
      </w:r>
      <w:r w:rsidR="00582574">
        <w:t>47</w:t>
      </w:r>
      <w:r w:rsidR="009376AC">
        <w:t>4</w:t>
      </w:r>
      <w:r w:rsidR="00FE126B">
        <w:t>,0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2017 году </w:t>
      </w:r>
      <w:r w:rsidR="00124479" w:rsidRPr="00C12040">
        <w:t>–</w:t>
      </w:r>
      <w:r w:rsidR="001D4913" w:rsidRPr="00C12040">
        <w:t>8102,1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2018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2019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2020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рублей.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FE126B">
      <w:pPr>
        <w:autoSpaceDE w:val="0"/>
        <w:autoSpaceDN w:val="0"/>
        <w:adjustRightInd w:val="0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 </w:t>
      </w:r>
    </w:p>
    <w:p w:rsidR="004B7B6D" w:rsidRPr="00C12040" w:rsidRDefault="00184C58" w:rsidP="00FE126B">
      <w:pPr>
        <w:autoSpaceDE w:val="0"/>
        <w:autoSpaceDN w:val="0"/>
        <w:adjustRightInd w:val="0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FE126B">
      <w:pPr>
        <w:autoSpaceDE w:val="0"/>
        <w:autoSpaceDN w:val="0"/>
        <w:adjustRightInd w:val="0"/>
      </w:pPr>
      <w:r w:rsidRPr="00C12040">
        <w:t>сельского поселения</w:t>
      </w:r>
      <w:r w:rsidR="004B7B6D">
        <w:t xml:space="preserve">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1446"/>
      <w:bookmarkEnd w:id="5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gramStart"/>
            <w:r w:rsidRPr="00C12040">
              <w:t>п</w:t>
            </w:r>
            <w:proofErr w:type="gramEnd"/>
            <w:r w:rsidRPr="00C12040"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измере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ния</w:t>
            </w:r>
            <w:proofErr w:type="spellEnd"/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</w:t>
            </w:r>
            <w:proofErr w:type="gramStart"/>
            <w:r w:rsidRPr="00C12040">
              <w:t>качественными</w:t>
            </w:r>
            <w:proofErr w:type="gramEnd"/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 xml:space="preserve">скому поселению, в </w:t>
            </w:r>
            <w:proofErr w:type="gramStart"/>
            <w:r w:rsidRPr="00C12040">
              <w:t>которых</w:t>
            </w:r>
            <w:proofErr w:type="gramEnd"/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собственники </w:t>
            </w:r>
            <w:proofErr w:type="spellStart"/>
            <w:r w:rsidRPr="00C12040">
              <w:t>поме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щений</w:t>
            </w:r>
            <w:proofErr w:type="spellEnd"/>
            <w:r w:rsidRPr="00C12040">
              <w:t xml:space="preserve">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реализуют </w:t>
            </w:r>
            <w:proofErr w:type="spellStart"/>
            <w:r w:rsidRPr="00C12040">
              <w:t>управле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ниемногоквартир</w:t>
            </w:r>
            <w:proofErr w:type="spellEnd"/>
            <w:r w:rsidRPr="00C12040">
              <w:t xml:space="preserve">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ными</w:t>
            </w:r>
            <w:proofErr w:type="spellEnd"/>
            <w:r w:rsidRPr="00C12040">
              <w:t xml:space="preserve"> домами </w:t>
            </w:r>
            <w:proofErr w:type="gramStart"/>
            <w:r w:rsidRPr="00C12040">
              <w:t>по</w:t>
            </w:r>
            <w:proofErr w:type="gramEnd"/>
            <w:r w:rsidRPr="00C12040">
              <w:t xml:space="preserve">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bookmarkStart w:id="6" w:name="Par1458"/>
            <w:bookmarkEnd w:id="6"/>
            <w:r w:rsidRPr="00C12040">
              <w:t xml:space="preserve">50,0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7" w:name="Par1480"/>
            <w:bookmarkEnd w:id="7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в которых </w:t>
            </w:r>
            <w:proofErr w:type="spellStart"/>
            <w:r w:rsidRPr="00C12040">
              <w:t>планиру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ется</w:t>
            </w:r>
            <w:proofErr w:type="spellEnd"/>
            <w:r w:rsidRPr="00C12040">
              <w:t xml:space="preserve">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7F475E">
            <w:pPr>
              <w:autoSpaceDE w:val="0"/>
              <w:autoSpaceDN w:val="0"/>
              <w:adjustRightInd w:val="0"/>
            </w:pPr>
            <w:r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8" w:name="Par1482"/>
            <w:bookmarkEnd w:id="8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и товариществ </w:t>
            </w:r>
            <w:proofErr w:type="spellStart"/>
            <w:r w:rsidRPr="00C12040">
              <w:t>соб</w:t>
            </w:r>
            <w:proofErr w:type="spellEnd"/>
            <w:r w:rsidRPr="00C12040">
              <w:t>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ственников</w:t>
            </w:r>
            <w:proofErr w:type="spellEnd"/>
            <w:r w:rsidRPr="00C12040">
              <w:t xml:space="preserve">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9" w:name="Par1495"/>
            <w:bookmarkEnd w:id="9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10" w:name="Par1505"/>
            <w:bookmarkEnd w:id="10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</w:t>
            </w:r>
            <w:proofErr w:type="spellStart"/>
            <w:r w:rsidRPr="00C12040">
              <w:t>требо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ваниям</w:t>
            </w:r>
            <w:proofErr w:type="spellEnd"/>
            <w:r w:rsidRPr="00C12040">
              <w:t xml:space="preserve">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, в общей </w:t>
            </w:r>
            <w:proofErr w:type="spellStart"/>
            <w:r w:rsidRPr="00C12040">
              <w:t>чис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ленности</w:t>
            </w:r>
            <w:proofErr w:type="spellEnd"/>
            <w:r w:rsidRPr="00C12040">
              <w:t xml:space="preserve">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08"/>
            <w:bookmarkEnd w:id="11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gramStart"/>
            <w:r w:rsidRPr="00C12040">
              <w:t>водопроводных</w:t>
            </w:r>
            <w:proofErr w:type="gramEnd"/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17"/>
            <w:bookmarkEnd w:id="12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proofErr w:type="spellStart"/>
            <w:r w:rsidRPr="00C12040">
              <w:t>цииМатвеево</w:t>
            </w:r>
            <w:proofErr w:type="spellEnd"/>
            <w:r w:rsidRPr="00C12040">
              <w:t>-Курганского сельск</w:t>
            </w:r>
            <w:r w:rsidRPr="00C12040">
              <w:t>о</w:t>
            </w:r>
            <w:r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3" w:name="Par1545"/>
            <w:bookmarkEnd w:id="13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 xml:space="preserve">Благоустройство территории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4" w:name="Par1559"/>
            <w:bookmarkEnd w:id="14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 xml:space="preserve">тированных </w:t>
            </w:r>
            <w:proofErr w:type="spellStart"/>
            <w:r w:rsidRPr="00C12040">
              <w:t>памятн</w:t>
            </w:r>
            <w:r w:rsidRPr="00C12040">
              <w:t>и</w:t>
            </w:r>
            <w:r w:rsidRPr="00C12040">
              <w:t>ков</w:t>
            </w:r>
            <w:proofErr w:type="gramStart"/>
            <w:r w:rsidRPr="00C12040">
              <w:t>,м</w:t>
            </w:r>
            <w:proofErr w:type="gramEnd"/>
            <w:r w:rsidRPr="00C12040">
              <w:t>алых</w:t>
            </w:r>
            <w:proofErr w:type="spellEnd"/>
            <w:r w:rsidRPr="00C12040">
              <w:t xml:space="preserve">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5" w:name="Par1578"/>
      <w:bookmarkEnd w:id="15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 xml:space="preserve">О ПОКАЗАТЕЛЯХ, ВКЛЮЧЕННЫХ В </w:t>
      </w:r>
      <w:proofErr w:type="gramStart"/>
      <w:r w:rsidRPr="00C12040">
        <w:rPr>
          <w:b/>
          <w:bCs/>
        </w:rPr>
        <w:t>ФЕДЕРАЛЬНЫЙ</w:t>
      </w:r>
      <w:proofErr w:type="gramEnd"/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694"/>
      </w:tblGrid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(</w:t>
            </w:r>
            <w:proofErr w:type="spellStart"/>
            <w:r w:rsidRPr="00C12040">
              <w:t>региональ</w:t>
            </w:r>
            <w:proofErr w:type="spellEnd"/>
            <w:r w:rsidRPr="00C12040">
              <w:t>-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2040">
              <w:t>ного</w:t>
            </w:r>
            <w:proofErr w:type="spellEnd"/>
            <w:r w:rsidRPr="00C12040">
              <w:t>) плана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ских</w:t>
            </w:r>
            <w:proofErr w:type="spellEnd"/>
            <w:r w:rsidRPr="00C12040">
              <w:t xml:space="preserve"> работ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учета</w:t>
            </w:r>
          </w:p>
        </w:tc>
      </w:tr>
      <w:tr w:rsidR="004961E2" w:rsidRPr="00C12040" w:rsidTr="00F63AE0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Доля </w:t>
            </w:r>
            <w:proofErr w:type="spellStart"/>
            <w:r w:rsidRPr="00C12040">
              <w:t>многоквар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тирных</w:t>
            </w:r>
            <w:proofErr w:type="spellEnd"/>
            <w:r w:rsidRPr="00C12040">
              <w:t xml:space="preserve"> домов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целом</w:t>
            </w:r>
            <w:proofErr w:type="gramEnd"/>
            <w:r w:rsidRPr="00C12040">
              <w:t xml:space="preserve">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ской</w:t>
            </w:r>
            <w:proofErr w:type="spellEnd"/>
            <w:r w:rsidRPr="00C12040">
              <w:t xml:space="preserve"> области,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которых </w:t>
            </w:r>
            <w:proofErr w:type="spellStart"/>
            <w:r w:rsidRPr="00C12040">
              <w:t>собствен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ники</w:t>
            </w:r>
            <w:proofErr w:type="spellEnd"/>
            <w:r w:rsidRPr="00C12040">
              <w:t xml:space="preserve">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выбрали и </w:t>
            </w:r>
            <w:proofErr w:type="spellStart"/>
            <w:r w:rsidRPr="00C12040">
              <w:t>реали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зуют</w:t>
            </w:r>
            <w:proofErr w:type="spellEnd"/>
            <w:r w:rsidRPr="00C12040">
              <w:t xml:space="preserve">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домами </w:t>
            </w:r>
            <w:proofErr w:type="spellStart"/>
            <w:r w:rsidRPr="00C12040">
              <w:t>посредст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вом</w:t>
            </w:r>
            <w:proofErr w:type="spellEnd"/>
            <w:r w:rsidRPr="00C12040">
              <w:t xml:space="preserve">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собственников </w:t>
            </w:r>
            <w:proofErr w:type="spellStart"/>
            <w:r w:rsidRPr="00C12040">
              <w:t>жи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лья</w:t>
            </w:r>
            <w:proofErr w:type="spellEnd"/>
            <w:r w:rsidRPr="00C12040">
              <w:t xml:space="preserve">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иного </w:t>
            </w:r>
            <w:proofErr w:type="spellStart"/>
            <w:r w:rsidRPr="00C12040">
              <w:t>специализи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рованногопотре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бительского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306840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ляющихорганиза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ций</w:t>
            </w:r>
            <w:proofErr w:type="spellEnd"/>
            <w:r w:rsidRPr="00C12040">
              <w:t xml:space="preserve">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306840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lastRenderedPageBreak/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6" w:name="Par1630"/>
            <w:bookmarkEnd w:id="16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питьевой водой,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"Сведения о </w:t>
            </w:r>
            <w:proofErr w:type="gramStart"/>
            <w:r w:rsidRPr="00C12040">
              <w:t>жилищном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фонде</w:t>
            </w:r>
            <w:proofErr w:type="gramEnd"/>
            <w:r w:rsidRPr="00C12040">
              <w:t>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сетей, </w:t>
            </w:r>
            <w:proofErr w:type="spellStart"/>
            <w:r w:rsidRPr="00C12040">
              <w:t>нуж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дающихся</w:t>
            </w:r>
            <w:proofErr w:type="gramEnd"/>
            <w:r w:rsidRPr="00C12040">
              <w:t xml:space="preserve">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proofErr w:type="spellStart"/>
              <w:r w:rsidRPr="00C12040">
                <w:rPr>
                  <w:color w:val="0000FF"/>
                </w:rPr>
                <w:t>форма</w:t>
              </w:r>
            </w:hyperlink>
            <w:r w:rsidRPr="00C12040">
              <w:t>статисти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ческого</w:t>
            </w:r>
            <w:proofErr w:type="spellEnd"/>
            <w:r w:rsidRPr="00C12040">
              <w:t xml:space="preserve">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инфраструктуры </w:t>
            </w:r>
            <w:proofErr w:type="spellStart"/>
            <w:r w:rsidRPr="00C12040">
              <w:t>муници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пального</w:t>
            </w:r>
            <w:proofErr w:type="spellEnd"/>
            <w:r w:rsidRPr="00C12040">
              <w:t xml:space="preserve"> образования"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ловой</w:t>
            </w:r>
            <w:proofErr w:type="spellEnd"/>
            <w:r w:rsidRPr="00C12040">
              <w:t xml:space="preserve"> энергии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суммарном </w:t>
            </w:r>
            <w:proofErr w:type="gramStart"/>
            <w:r w:rsidRPr="00C12040">
              <w:t>объеме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отпуска </w:t>
            </w:r>
            <w:proofErr w:type="gramStart"/>
            <w:r w:rsidRPr="00C12040">
              <w:t>тепловой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блюдения</w:t>
            </w:r>
            <w:proofErr w:type="spellEnd"/>
            <w:r w:rsidRPr="00C12040">
              <w:t xml:space="preserve">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плоснабжении</w:t>
            </w:r>
            <w:proofErr w:type="spellEnd"/>
            <w:r w:rsidRPr="00C12040">
              <w:t xml:space="preserve">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области в разрезе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образований"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</w:t>
            </w:r>
            <w:proofErr w:type="spellStart"/>
            <w:r w:rsidRPr="00C12040">
              <w:t>бла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Подпрограмма «Благоустройство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населен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пунктов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ципальныхобразо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ваний</w:t>
            </w:r>
            <w:proofErr w:type="spellEnd"/>
            <w:r w:rsidRPr="00C12040">
              <w:t xml:space="preserve">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306840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</w:t>
            </w:r>
            <w:proofErr w:type="spellStart"/>
            <w:r w:rsidR="00210856" w:rsidRPr="00C12040">
              <w:t>бла</w:t>
            </w:r>
            <w:proofErr w:type="spellEnd"/>
            <w:r w:rsidR="00210856"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к Муниципальной </w:t>
      </w:r>
      <w:proofErr w:type="spellStart"/>
      <w:r w:rsidRPr="00C12040">
        <w:t>программеРостовской</w:t>
      </w:r>
      <w:proofErr w:type="spellEnd"/>
      <w:r w:rsidRPr="00C12040">
        <w:t xml:space="preserve">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spellStart"/>
      <w:r w:rsidRPr="00C12040">
        <w:t>качественнымижилищно</w:t>
      </w:r>
      <w:proofErr w:type="spellEnd"/>
      <w:r w:rsidRPr="00C12040">
        <w:t>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услугами </w:t>
      </w:r>
      <w:proofErr w:type="spellStart"/>
      <w:r w:rsidRPr="00C12040">
        <w:t>населенияМатвеево</w:t>
      </w:r>
      <w:proofErr w:type="spellEnd"/>
      <w:r w:rsidRPr="00C12040">
        <w:t>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2245"/>
      <w:bookmarkEnd w:id="17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254501">
              <w:rPr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8167AA">
              <w:rPr>
                <w:highlight w:val="yellow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4B7B6D" w:rsidP="004B7B6D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39</w:t>
            </w:r>
            <w:r w:rsidR="0015494B">
              <w:rPr>
                <w:b/>
                <w:sz w:val="20"/>
                <w:szCs w:val="20"/>
                <w:highlight w:val="yellow"/>
              </w:rPr>
              <w:t>6</w:t>
            </w:r>
            <w:r>
              <w:rPr>
                <w:b/>
                <w:sz w:val="20"/>
                <w:szCs w:val="20"/>
                <w:highlight w:val="yellow"/>
              </w:rPr>
              <w:t>37</w:t>
            </w:r>
            <w:r w:rsidR="0015494B">
              <w:rPr>
                <w:b/>
                <w:sz w:val="20"/>
                <w:szCs w:val="20"/>
                <w:highlight w:val="yellow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8268,2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15</w:t>
            </w:r>
            <w:r w:rsidR="00F43A19">
              <w:rPr>
                <w:b/>
                <w:sz w:val="20"/>
                <w:szCs w:val="20"/>
                <w:highlight w:val="green"/>
              </w:rPr>
              <w:t>6,8</w:t>
            </w:r>
            <w:r w:rsidRPr="00F43A19">
              <w:rPr>
                <w:b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E4F3E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11194,8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B41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8" w:name="Par2273"/>
            <w:bookmarkEnd w:id="18"/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E126B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2). Канцелярские расходы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1E4F3E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11184,8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806F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102</w:t>
            </w:r>
            <w:r w:rsidR="00806FE8">
              <w:rPr>
                <w:b/>
                <w:sz w:val="20"/>
                <w:szCs w:val="20"/>
                <w:highlight w:val="green"/>
              </w:rPr>
              <w:t>4</w:t>
            </w:r>
            <w:r>
              <w:rPr>
                <w:b/>
                <w:sz w:val="20"/>
                <w:szCs w:val="20"/>
                <w:highlight w:val="green"/>
              </w:rPr>
              <w:t>,</w:t>
            </w:r>
            <w:r w:rsidR="00806FE8">
              <w:rPr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4B7B6D" w:rsidP="00954BF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14969,0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7549,8</w:t>
            </w:r>
          </w:p>
          <w:p w:rsidR="005A0919" w:rsidRPr="00F43A19" w:rsidRDefault="005A0919" w:rsidP="00122C2E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 xml:space="preserve">В т.ч. </w:t>
            </w:r>
          </w:p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8344EA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="004B7B6D">
              <w:rPr>
                <w:color w:val="FF0000"/>
                <w:sz w:val="20"/>
                <w:szCs w:val="20"/>
              </w:rPr>
              <w:t>297</w:t>
            </w:r>
            <w:r>
              <w:rPr>
                <w:color w:val="FF0000"/>
                <w:sz w:val="20"/>
                <w:szCs w:val="20"/>
              </w:rPr>
              <w:t>,</w:t>
            </w:r>
            <w:r w:rsidR="004B7B6D">
              <w:rPr>
                <w:color w:val="FF0000"/>
                <w:sz w:val="20"/>
                <w:szCs w:val="20"/>
              </w:rPr>
              <w:t>3</w:t>
            </w:r>
          </w:p>
          <w:p w:rsidR="007A7F21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 т.ч.</w:t>
            </w:r>
          </w:p>
          <w:p w:rsidR="007A7F21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 4</w:t>
            </w:r>
            <w:r w:rsidR="004B7B6D">
              <w:rPr>
                <w:color w:val="FF0000"/>
                <w:sz w:val="20"/>
                <w:szCs w:val="20"/>
              </w:rPr>
              <w:t>052</w:t>
            </w:r>
            <w:r>
              <w:rPr>
                <w:color w:val="FF0000"/>
                <w:sz w:val="20"/>
                <w:szCs w:val="20"/>
              </w:rPr>
              <w:t>,</w:t>
            </w:r>
            <w:r w:rsidR="004B7B6D">
              <w:rPr>
                <w:color w:val="FF0000"/>
                <w:sz w:val="20"/>
                <w:szCs w:val="20"/>
              </w:rPr>
              <w:t>4</w:t>
            </w:r>
          </w:p>
          <w:p w:rsidR="007A7F21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С. </w:t>
            </w:r>
            <w:r w:rsidR="004B7B6D">
              <w:rPr>
                <w:color w:val="FF0000"/>
                <w:sz w:val="20"/>
                <w:szCs w:val="20"/>
              </w:rPr>
              <w:t>245,0</w:t>
            </w:r>
          </w:p>
          <w:p w:rsidR="007A7F21" w:rsidRPr="00F43A19" w:rsidRDefault="007A7F21" w:rsidP="00C120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151,1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7A7F21" w:rsidP="004B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7B6D">
              <w:rPr>
                <w:sz w:val="20"/>
                <w:szCs w:val="20"/>
              </w:rPr>
              <w:t>297</w:t>
            </w:r>
            <w:r>
              <w:rPr>
                <w:sz w:val="20"/>
                <w:szCs w:val="20"/>
              </w:rPr>
              <w:t>,</w:t>
            </w:r>
            <w:r w:rsidR="004B7B6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4B7B6D" w:rsidP="003C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 w:rsidRPr="009D3F17">
              <w:rPr>
                <w:b/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9D3F17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D3F17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9D3F1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4B7B6D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10308,9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54BF1" w:rsidRDefault="004B7B6D" w:rsidP="00C458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8344EA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8344EA" w:rsidRDefault="008344EA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8344EA">
              <w:rPr>
                <w:i/>
                <w:color w:val="1F497D" w:themeColor="text2"/>
                <w:sz w:val="20"/>
                <w:szCs w:val="20"/>
              </w:rPr>
              <w:t>Приобретение водопроводных  труб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4B7B6D" w:rsidP="004129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10083,4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4B7B6D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2</w:t>
            </w:r>
            <w:r>
              <w:rPr>
                <w:b/>
                <w:i/>
                <w:sz w:val="20"/>
                <w:szCs w:val="20"/>
                <w:highlight w:val="green"/>
              </w:rPr>
              <w:t>,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4B7B6D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20142E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4B7B6D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91,2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954BF1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954BF1">
              <w:rPr>
                <w:b/>
                <w:i/>
                <w:sz w:val="20"/>
                <w:szCs w:val="20"/>
                <w:highlight w:val="yellow"/>
              </w:rPr>
              <w:t>2,</w:t>
            </w:r>
            <w:r w:rsidRPr="009D3F17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54BF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954BF1">
              <w:rPr>
                <w:b/>
                <w:i/>
                <w:sz w:val="20"/>
                <w:szCs w:val="20"/>
                <w:highlight w:val="yellow"/>
              </w:rPr>
              <w:t>2</w:t>
            </w:r>
            <w:r w:rsidRPr="00F43A19">
              <w:rPr>
                <w:b/>
                <w:i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 xml:space="preserve">Прочие </w:t>
            </w:r>
            <w:proofErr w:type="spellStart"/>
            <w:r w:rsidRPr="00F43A19">
              <w:rPr>
                <w:sz w:val="20"/>
                <w:szCs w:val="20"/>
              </w:rPr>
              <w:t>работыи</w:t>
            </w:r>
            <w:proofErr w:type="spellEnd"/>
            <w:r w:rsidRPr="00F43A19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D3F1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95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4BF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4B7B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A6733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4B7B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B7B6D">
              <w:rPr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4B7B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</w:t>
            </w:r>
            <w:r w:rsidR="00A6733D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DD6C24" w:rsidP="005D03D7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13</w:t>
            </w:r>
            <w:r w:rsidR="005D03D7">
              <w:rPr>
                <w:b/>
                <w:sz w:val="20"/>
                <w:szCs w:val="20"/>
                <w:highlight w:val="yellow"/>
              </w:rPr>
              <w:t>47</w:t>
            </w:r>
            <w:r w:rsidR="000606B0">
              <w:rPr>
                <w:b/>
                <w:sz w:val="20"/>
                <w:szCs w:val="20"/>
                <w:highlight w:val="yellow"/>
              </w:rPr>
              <w:t>4</w:t>
            </w:r>
            <w:r>
              <w:rPr>
                <w:b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1B3CF4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D03D7" w:rsidP="00C020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9627,2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F43A19">
              <w:rPr>
                <w:b/>
                <w:sz w:val="20"/>
                <w:szCs w:val="20"/>
                <w:highlight w:val="yellow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D03D7" w:rsidP="007A7F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</w:t>
            </w:r>
            <w:r w:rsidR="00383AA6">
              <w:rPr>
                <w:b/>
                <w:i/>
                <w:sz w:val="20"/>
                <w:szCs w:val="20"/>
                <w:highlight w:val="green"/>
              </w:rPr>
              <w:t>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D03D7" w:rsidP="000606B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9136,5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D03D7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9136,5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D03D7" w:rsidP="00625A7A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D03D7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491,0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C12040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yellow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</w:tr>
      <w:tr w:rsidR="00F43A19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C12040">
            <w:pPr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C12040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yellow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 xml:space="preserve">устройство территории»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5C350E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7F55D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2675,7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7F5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141F15" w:rsidRDefault="00141F15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5D03D7">
            <w:pPr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4</w:t>
            </w:r>
            <w:r w:rsidR="005D03D7">
              <w:rPr>
                <w:sz w:val="20"/>
                <w:szCs w:val="20"/>
                <w:highlight w:val="yellow"/>
              </w:rPr>
              <w:t>43</w:t>
            </w:r>
            <w:r w:rsidRPr="00141F15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7F55D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4).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C0645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</w:t>
            </w:r>
            <w:r w:rsidR="007F55DF">
              <w:rPr>
                <w:color w:val="1F497D" w:themeColor="text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C0645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30</w:t>
            </w:r>
            <w:r w:rsidR="007F55DF">
              <w:rPr>
                <w:color w:val="1F497D" w:themeColor="text2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D03D7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49438F" w:rsidRDefault="00D9236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 w:rsidR="00BB1450"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516B1B">
              <w:rPr>
                <w:color w:val="1F497D" w:themeColor="text2"/>
                <w:sz w:val="20"/>
                <w:szCs w:val="20"/>
                <w:highlight w:val="yellow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</w:t>
            </w:r>
            <w:r w:rsidR="00516B1B">
              <w:rPr>
                <w:i/>
                <w:color w:val="1F497D" w:themeColor="text2"/>
                <w:sz w:val="20"/>
                <w:szCs w:val="20"/>
              </w:rPr>
              <w:t>6</w:t>
            </w:r>
            <w:r>
              <w:rPr>
                <w:i/>
                <w:color w:val="1F497D" w:themeColor="text2"/>
                <w:sz w:val="20"/>
                <w:szCs w:val="20"/>
              </w:rPr>
              <w:t>).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5411,1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В т.ч.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О-5073,5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5A0919" w:rsidRPr="00F43A19" w:rsidRDefault="005A0919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0B" w:rsidRDefault="0090740B">
      <w:r>
        <w:separator/>
      </w:r>
    </w:p>
  </w:endnote>
  <w:endnote w:type="continuationSeparator" w:id="0">
    <w:p w:rsidR="0090740B" w:rsidRDefault="0090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B" w:rsidRPr="00AD6843" w:rsidRDefault="0090740B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306840">
      <w:rPr>
        <w:noProof/>
        <w:sz w:val="16"/>
      </w:rPr>
      <w:t>3</w:t>
    </w:r>
    <w:r w:rsidRPr="00AD6843">
      <w:rPr>
        <w:sz w:val="16"/>
      </w:rPr>
      <w:fldChar w:fldCharType="end"/>
    </w:r>
  </w:p>
  <w:p w:rsidR="0090740B" w:rsidRDefault="0090740B">
    <w:pPr>
      <w:pStyle w:val="a6"/>
    </w:pPr>
  </w:p>
  <w:p w:rsidR="0090740B" w:rsidRDefault="009074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0B" w:rsidRDefault="0090740B">
      <w:r>
        <w:separator/>
      </w:r>
    </w:p>
  </w:footnote>
  <w:footnote w:type="continuationSeparator" w:id="0">
    <w:p w:rsidR="0090740B" w:rsidRDefault="0090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765"/>
    <w:rsid w:val="000214FC"/>
    <w:rsid w:val="00021B89"/>
    <w:rsid w:val="00021E13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27D1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06B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5F3E"/>
    <w:rsid w:val="00196933"/>
    <w:rsid w:val="001A0581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721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597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3F0"/>
    <w:rsid w:val="003476A3"/>
    <w:rsid w:val="00347806"/>
    <w:rsid w:val="00350A3F"/>
    <w:rsid w:val="003510F3"/>
    <w:rsid w:val="003522B8"/>
    <w:rsid w:val="0035298A"/>
    <w:rsid w:val="00357602"/>
    <w:rsid w:val="00357C1E"/>
    <w:rsid w:val="00357C91"/>
    <w:rsid w:val="00360609"/>
    <w:rsid w:val="003622BC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CD4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401FA1"/>
    <w:rsid w:val="0040216F"/>
    <w:rsid w:val="004021E1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72D9"/>
    <w:rsid w:val="0042142E"/>
    <w:rsid w:val="004229DB"/>
    <w:rsid w:val="00425E7D"/>
    <w:rsid w:val="00426647"/>
    <w:rsid w:val="00427586"/>
    <w:rsid w:val="00427CC3"/>
    <w:rsid w:val="00430D09"/>
    <w:rsid w:val="0043261F"/>
    <w:rsid w:val="00432A55"/>
    <w:rsid w:val="00436196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752"/>
    <w:rsid w:val="0045762B"/>
    <w:rsid w:val="00460ADC"/>
    <w:rsid w:val="00461A36"/>
    <w:rsid w:val="00462FF7"/>
    <w:rsid w:val="00466342"/>
    <w:rsid w:val="00466807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61F"/>
    <w:rsid w:val="004D26B6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6B1B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3FA3"/>
    <w:rsid w:val="00554510"/>
    <w:rsid w:val="00554D54"/>
    <w:rsid w:val="00556FFD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50E"/>
    <w:rsid w:val="005C38DE"/>
    <w:rsid w:val="005C6C71"/>
    <w:rsid w:val="005C77FA"/>
    <w:rsid w:val="005C7949"/>
    <w:rsid w:val="005D03D7"/>
    <w:rsid w:val="005D06DE"/>
    <w:rsid w:val="005D29C9"/>
    <w:rsid w:val="005D33DA"/>
    <w:rsid w:val="005D429F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C2E"/>
    <w:rsid w:val="007A14F8"/>
    <w:rsid w:val="007A1B24"/>
    <w:rsid w:val="007A1DFA"/>
    <w:rsid w:val="007A2A8C"/>
    <w:rsid w:val="007A424B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14E3"/>
    <w:rsid w:val="0094392E"/>
    <w:rsid w:val="009442A4"/>
    <w:rsid w:val="00944E63"/>
    <w:rsid w:val="00946085"/>
    <w:rsid w:val="0094776F"/>
    <w:rsid w:val="00952696"/>
    <w:rsid w:val="00953107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54B8"/>
    <w:rsid w:val="009A57F6"/>
    <w:rsid w:val="009A6898"/>
    <w:rsid w:val="009B0E76"/>
    <w:rsid w:val="009B2C8D"/>
    <w:rsid w:val="009B6444"/>
    <w:rsid w:val="009C0E05"/>
    <w:rsid w:val="009C0ECB"/>
    <w:rsid w:val="009C11A3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537E"/>
    <w:rsid w:val="009F5A00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709"/>
    <w:rsid w:val="00AA3D40"/>
    <w:rsid w:val="00AA4226"/>
    <w:rsid w:val="00AA47DA"/>
    <w:rsid w:val="00AB13D8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4D3C"/>
    <w:rsid w:val="00AD7847"/>
    <w:rsid w:val="00AE0086"/>
    <w:rsid w:val="00AE0390"/>
    <w:rsid w:val="00AE205D"/>
    <w:rsid w:val="00AE28F1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61C0"/>
    <w:rsid w:val="00B87379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6048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0792"/>
    <w:rsid w:val="00C01C0C"/>
    <w:rsid w:val="00C0201C"/>
    <w:rsid w:val="00C038BB"/>
    <w:rsid w:val="00C03C2E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9D7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3713"/>
    <w:rsid w:val="00CB61DC"/>
    <w:rsid w:val="00CC032B"/>
    <w:rsid w:val="00CC079C"/>
    <w:rsid w:val="00CC21D6"/>
    <w:rsid w:val="00CC3020"/>
    <w:rsid w:val="00CC4E66"/>
    <w:rsid w:val="00CC5978"/>
    <w:rsid w:val="00CC5EE7"/>
    <w:rsid w:val="00CD32A3"/>
    <w:rsid w:val="00CD4AA2"/>
    <w:rsid w:val="00CD6B5D"/>
    <w:rsid w:val="00CD6B6C"/>
    <w:rsid w:val="00CE1349"/>
    <w:rsid w:val="00CE1502"/>
    <w:rsid w:val="00CE5F7B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42A7"/>
    <w:rsid w:val="00D048AD"/>
    <w:rsid w:val="00D0577D"/>
    <w:rsid w:val="00D11788"/>
    <w:rsid w:val="00D120A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72E2"/>
    <w:rsid w:val="00F2736A"/>
    <w:rsid w:val="00F30179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556"/>
    <w:rsid w:val="00FB2947"/>
    <w:rsid w:val="00FB5400"/>
    <w:rsid w:val="00FB71F2"/>
    <w:rsid w:val="00FB797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7712-854F-491C-8979-ED774650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49</Pages>
  <Words>18384</Words>
  <Characters>104792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122931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9</cp:revision>
  <cp:lastPrinted>2016-08-16T09:11:00Z</cp:lastPrinted>
  <dcterms:created xsi:type="dcterms:W3CDTF">2016-11-12T09:42:00Z</dcterms:created>
  <dcterms:modified xsi:type="dcterms:W3CDTF">2016-11-14T07:46:00Z</dcterms:modified>
</cp:coreProperties>
</file>